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0E" w:rsidRDefault="00D6330E" w:rsidP="00FE5A47">
      <w:pPr>
        <w:spacing w:after="80" w:line="240" w:lineRule="auto"/>
        <w:jc w:val="center"/>
        <w:rPr>
          <w:rFonts w:ascii="Calibri" w:hAnsi="Calibri" w:cs="Calibri"/>
        </w:rPr>
      </w:pPr>
      <w:r w:rsidRPr="006F0D01">
        <w:rPr>
          <w:rFonts w:ascii="Calibri" w:hAnsi="Calibri" w:cs="Calibri"/>
        </w:rPr>
        <w:t>Comunicato stampa</w:t>
      </w:r>
    </w:p>
    <w:p w:rsidR="00546B29" w:rsidRPr="008C3AAA" w:rsidRDefault="00DE4418" w:rsidP="008C3AAA">
      <w:pPr>
        <w:pStyle w:val="s18"/>
        <w:spacing w:before="0" w:beforeAutospacing="0" w:after="90" w:afterAutospacing="0"/>
        <w:jc w:val="center"/>
        <w:rPr>
          <w:rFonts w:ascii="Calibri" w:hAnsi="Calibri" w:cs="Calibri"/>
          <w:b/>
        </w:rPr>
      </w:pPr>
      <w:r>
        <w:rPr>
          <w:rFonts w:ascii="Calibri" w:hAnsi="Calibri" w:cs="Calibri"/>
          <w:b/>
        </w:rPr>
        <w:t xml:space="preserve">In </w:t>
      </w:r>
      <w:r w:rsidR="00181E57">
        <w:rPr>
          <w:rFonts w:ascii="Calibri" w:hAnsi="Calibri" w:cs="Calibri"/>
          <w:b/>
        </w:rPr>
        <w:t>330</w:t>
      </w:r>
      <w:r w:rsidR="00605DE9">
        <w:rPr>
          <w:rFonts w:ascii="Calibri" w:hAnsi="Calibri" w:cs="Calibri"/>
          <w:b/>
        </w:rPr>
        <w:t xml:space="preserve"> al </w:t>
      </w:r>
      <w:r w:rsidR="00785144" w:rsidRPr="008C3AAA">
        <w:rPr>
          <w:rFonts w:ascii="Calibri" w:hAnsi="Calibri" w:cs="Calibri"/>
          <w:b/>
        </w:rPr>
        <w:t xml:space="preserve">Convegno </w:t>
      </w:r>
      <w:r w:rsidR="0020025E">
        <w:rPr>
          <w:rStyle w:val="s16"/>
          <w:rFonts w:asciiTheme="minorHAnsi" w:hAnsiTheme="minorHAnsi" w:cstheme="minorHAnsi"/>
          <w:b/>
          <w:bCs/>
          <w:color w:val="000000"/>
        </w:rPr>
        <w:t>“</w:t>
      </w:r>
      <w:r w:rsidR="008C3AAA" w:rsidRPr="008C3AAA">
        <w:rPr>
          <w:rStyle w:val="s17"/>
          <w:rFonts w:asciiTheme="minorHAnsi" w:hAnsiTheme="minorHAnsi" w:cstheme="minorHAnsi"/>
          <w:b/>
          <w:bCs/>
          <w:color w:val="000000"/>
        </w:rPr>
        <w:t>Rendicontazione di sostenibilità di imprese, Amministrazioni pubbliche e territori: esperienze a confronto e opportunità derivanti dai nuovi obblighi informativi”</w:t>
      </w:r>
    </w:p>
    <w:p w:rsidR="008C3AAA" w:rsidRPr="00DE4418" w:rsidRDefault="008C3AAA" w:rsidP="00FE5A47">
      <w:pPr>
        <w:spacing w:after="80" w:line="240" w:lineRule="auto"/>
        <w:jc w:val="center"/>
        <w:rPr>
          <w:rFonts w:ascii="Calibri" w:hAnsi="Calibri" w:cs="Calibri"/>
          <w:b/>
          <w:color w:val="31849B" w:themeColor="accent5" w:themeShade="BF"/>
          <w:sz w:val="36"/>
          <w:szCs w:val="36"/>
        </w:rPr>
      </w:pPr>
      <w:r w:rsidRPr="00DE4418">
        <w:rPr>
          <w:rFonts w:ascii="Calibri" w:hAnsi="Calibri" w:cs="Calibri"/>
          <w:b/>
          <w:color w:val="31849B" w:themeColor="accent5" w:themeShade="BF"/>
          <w:sz w:val="36"/>
          <w:szCs w:val="36"/>
        </w:rPr>
        <w:t xml:space="preserve">Report di sostenibilità: </w:t>
      </w:r>
      <w:r w:rsidR="00F91B4B" w:rsidRPr="00DE4418">
        <w:rPr>
          <w:rFonts w:ascii="Calibri" w:hAnsi="Calibri" w:cs="Calibri"/>
          <w:b/>
          <w:color w:val="31849B" w:themeColor="accent5" w:themeShade="BF"/>
          <w:sz w:val="36"/>
          <w:szCs w:val="36"/>
        </w:rPr>
        <w:t xml:space="preserve">aziende, enti e associazioni </w:t>
      </w:r>
      <w:r w:rsidRPr="00DE4418">
        <w:rPr>
          <w:rFonts w:ascii="Calibri" w:hAnsi="Calibri" w:cs="Calibri"/>
          <w:b/>
          <w:color w:val="31849B" w:themeColor="accent5" w:themeShade="BF"/>
          <w:sz w:val="36"/>
          <w:szCs w:val="36"/>
        </w:rPr>
        <w:t>si raccontano</w:t>
      </w:r>
    </w:p>
    <w:p w:rsidR="00D6330E" w:rsidRDefault="00BE3D0D" w:rsidP="00FE5A47">
      <w:pPr>
        <w:spacing w:after="80" w:line="240" w:lineRule="auto"/>
        <w:jc w:val="center"/>
        <w:rPr>
          <w:rFonts w:ascii="Calibri" w:hAnsi="Calibri" w:cs="Calibri"/>
          <w:b/>
          <w:i/>
          <w:sz w:val="24"/>
          <w:szCs w:val="24"/>
        </w:rPr>
      </w:pPr>
      <w:r w:rsidRPr="00BE3D0D">
        <w:rPr>
          <w:rFonts w:ascii="Calibri" w:hAnsi="Calibri" w:cs="Calibri"/>
          <w:b/>
          <w:i/>
          <w:sz w:val="24"/>
          <w:szCs w:val="24"/>
        </w:rPr>
        <w:t>Oltre 7.800 le aziende italiane che saranno tenute a produrre un Report di sostenibilità dal 2025</w:t>
      </w:r>
    </w:p>
    <w:p w:rsidR="004F5021" w:rsidRPr="00BE3D0D" w:rsidRDefault="004F5021" w:rsidP="00FE5A47">
      <w:pPr>
        <w:spacing w:after="80" w:line="240" w:lineRule="auto"/>
        <w:jc w:val="center"/>
        <w:rPr>
          <w:rFonts w:ascii="Calibri" w:hAnsi="Calibri" w:cs="Calibri"/>
          <w:b/>
          <w:i/>
          <w:sz w:val="24"/>
          <w:szCs w:val="24"/>
        </w:rPr>
      </w:pPr>
      <w:r>
        <w:rPr>
          <w:rFonts w:ascii="Calibri" w:hAnsi="Calibri" w:cs="Calibri"/>
          <w:b/>
          <w:i/>
          <w:sz w:val="24"/>
          <w:szCs w:val="24"/>
        </w:rPr>
        <w:t>Presentato il Report integrato 2022 del Comune di Bologna, recentemente pubblicato</w:t>
      </w:r>
    </w:p>
    <w:p w:rsidR="000141ED" w:rsidRDefault="00D6330E" w:rsidP="00710C9B">
      <w:pPr>
        <w:spacing w:after="120" w:line="240" w:lineRule="auto"/>
        <w:jc w:val="both"/>
        <w:rPr>
          <w:rFonts w:ascii="Calibri" w:hAnsi="Calibri" w:cs="Calibri"/>
        </w:rPr>
      </w:pPr>
      <w:r w:rsidRPr="00710C9B">
        <w:rPr>
          <w:rFonts w:ascii="Calibri" w:hAnsi="Calibri" w:cs="Calibri"/>
          <w:i/>
        </w:rPr>
        <w:t xml:space="preserve">Bologna, </w:t>
      </w:r>
      <w:r w:rsidR="000537FC" w:rsidRPr="00710C9B">
        <w:rPr>
          <w:rFonts w:ascii="Calibri" w:hAnsi="Calibri" w:cs="Calibri"/>
          <w:i/>
        </w:rPr>
        <w:t xml:space="preserve">15 novembre </w:t>
      </w:r>
      <w:r w:rsidRPr="00710C9B">
        <w:rPr>
          <w:rFonts w:ascii="Calibri" w:hAnsi="Calibri" w:cs="Calibri"/>
          <w:i/>
        </w:rPr>
        <w:t>202</w:t>
      </w:r>
      <w:r w:rsidR="00546B29" w:rsidRPr="00710C9B">
        <w:rPr>
          <w:rFonts w:ascii="Calibri" w:hAnsi="Calibri" w:cs="Calibri"/>
          <w:i/>
        </w:rPr>
        <w:t>3</w:t>
      </w:r>
      <w:r w:rsidRPr="00710C9B">
        <w:rPr>
          <w:rFonts w:ascii="Calibri" w:hAnsi="Calibri" w:cs="Calibri"/>
        </w:rPr>
        <w:t xml:space="preserve"> </w:t>
      </w:r>
      <w:r w:rsidR="00DA3286" w:rsidRPr="00710C9B">
        <w:rPr>
          <w:rFonts w:ascii="Calibri" w:hAnsi="Calibri" w:cs="Calibri"/>
        </w:rPr>
        <w:t>–</w:t>
      </w:r>
      <w:r w:rsidR="0006658A" w:rsidRPr="00710C9B">
        <w:rPr>
          <w:rFonts w:ascii="Calibri" w:hAnsi="Calibri" w:cs="Calibri"/>
        </w:rPr>
        <w:t xml:space="preserve"> </w:t>
      </w:r>
      <w:r w:rsidR="000141ED" w:rsidRPr="00710C9B">
        <w:rPr>
          <w:rFonts w:ascii="Calibri" w:hAnsi="Calibri" w:cs="Calibri"/>
        </w:rPr>
        <w:t xml:space="preserve">Dal 2024 aumenterà gradualmente la platea di imprese che dovranno </w:t>
      </w:r>
      <w:r w:rsidR="000141ED" w:rsidRPr="00710C9B">
        <w:rPr>
          <w:rFonts w:ascii="Calibri" w:hAnsi="Calibri" w:cs="Calibri"/>
          <w:b/>
        </w:rPr>
        <w:t>rendicontare l'impatto ambientale, sociale ed economico</w:t>
      </w:r>
      <w:r w:rsidR="000141ED" w:rsidRPr="00710C9B">
        <w:rPr>
          <w:rFonts w:ascii="Calibri" w:hAnsi="Calibri" w:cs="Calibri"/>
        </w:rPr>
        <w:t xml:space="preserve"> utilizzando criteri uniformi a livello europeo.</w:t>
      </w:r>
    </w:p>
    <w:p w:rsidR="000141ED" w:rsidRPr="00710C9B" w:rsidRDefault="000141ED" w:rsidP="00710C9B">
      <w:pPr>
        <w:spacing w:after="120" w:line="240" w:lineRule="auto"/>
        <w:jc w:val="both"/>
        <w:rPr>
          <w:rFonts w:ascii="Calibri" w:hAnsi="Calibri" w:cs="Calibri"/>
        </w:rPr>
      </w:pPr>
      <w:r w:rsidRPr="00710C9B">
        <w:rPr>
          <w:rFonts w:ascii="Calibri" w:hAnsi="Calibri" w:cs="Calibri"/>
        </w:rPr>
        <w:t xml:space="preserve">Restano </w:t>
      </w:r>
      <w:r w:rsidR="004E55FF">
        <w:rPr>
          <w:rFonts w:ascii="Calibri" w:hAnsi="Calibri" w:cs="Calibri"/>
        </w:rPr>
        <w:t xml:space="preserve">per il momento </w:t>
      </w:r>
      <w:r w:rsidRPr="00710C9B">
        <w:rPr>
          <w:rFonts w:ascii="Calibri" w:hAnsi="Calibri" w:cs="Calibri"/>
        </w:rPr>
        <w:t xml:space="preserve">escluse dall'obbligo le </w:t>
      </w:r>
      <w:r w:rsidRPr="00710C9B">
        <w:rPr>
          <w:rFonts w:ascii="Calibri" w:hAnsi="Calibri" w:cs="Calibri"/>
          <w:b/>
        </w:rPr>
        <w:t>piccole e medie imprese</w:t>
      </w:r>
      <w:r w:rsidRPr="00710C9B">
        <w:rPr>
          <w:rFonts w:ascii="Calibri" w:hAnsi="Calibri" w:cs="Calibri"/>
        </w:rPr>
        <w:t xml:space="preserve"> non quotate e non appartenenti a gruppi, ma l'esperienza degli ultimi anni ha insegnato che tutte le organizzazioni che hanno scelto di dotarsi di un documento che attesti la propria sostenibilità ne hanno tratto dei </w:t>
      </w:r>
      <w:r w:rsidRPr="00710C9B">
        <w:rPr>
          <w:rFonts w:ascii="Calibri" w:hAnsi="Calibri" w:cs="Calibri"/>
          <w:b/>
        </w:rPr>
        <w:t>benefici</w:t>
      </w:r>
      <w:r w:rsidRPr="00710C9B">
        <w:rPr>
          <w:rFonts w:ascii="Calibri" w:hAnsi="Calibri" w:cs="Calibri"/>
        </w:rPr>
        <w:t xml:space="preserve"> da diversi punti di vista.</w:t>
      </w:r>
    </w:p>
    <w:p w:rsidR="00B01CED" w:rsidRPr="00710C9B" w:rsidRDefault="00C20104" w:rsidP="00710C9B">
      <w:pPr>
        <w:pStyle w:val="s18"/>
        <w:spacing w:before="0" w:beforeAutospacing="0" w:after="120" w:afterAutospacing="0"/>
        <w:jc w:val="both"/>
        <w:rPr>
          <w:rFonts w:ascii="Calibri" w:hAnsi="Calibri" w:cs="Calibri"/>
          <w:sz w:val="22"/>
          <w:szCs w:val="22"/>
        </w:rPr>
      </w:pPr>
      <w:r w:rsidRPr="00710C9B">
        <w:rPr>
          <w:rFonts w:ascii="Calibri" w:hAnsi="Calibri" w:cs="Calibri"/>
          <w:sz w:val="22"/>
          <w:szCs w:val="22"/>
        </w:rPr>
        <w:t>Le tematiche s</w:t>
      </w:r>
      <w:r w:rsidR="009F78C4" w:rsidRPr="00710C9B">
        <w:rPr>
          <w:rFonts w:ascii="Calibri" w:hAnsi="Calibri" w:cs="Calibri"/>
          <w:sz w:val="22"/>
          <w:szCs w:val="22"/>
        </w:rPr>
        <w:t>ono stat</w:t>
      </w:r>
      <w:r w:rsidRPr="00710C9B">
        <w:rPr>
          <w:rFonts w:ascii="Calibri" w:hAnsi="Calibri" w:cs="Calibri"/>
          <w:sz w:val="22"/>
          <w:szCs w:val="22"/>
        </w:rPr>
        <w:t>e</w:t>
      </w:r>
      <w:r w:rsidR="009F78C4" w:rsidRPr="00710C9B">
        <w:rPr>
          <w:rFonts w:ascii="Calibri" w:hAnsi="Calibri" w:cs="Calibri"/>
          <w:sz w:val="22"/>
          <w:szCs w:val="22"/>
        </w:rPr>
        <w:t xml:space="preserve"> </w:t>
      </w:r>
      <w:r w:rsidRPr="00710C9B">
        <w:rPr>
          <w:rFonts w:ascii="Calibri" w:hAnsi="Calibri" w:cs="Calibri"/>
          <w:sz w:val="22"/>
          <w:szCs w:val="22"/>
        </w:rPr>
        <w:t xml:space="preserve">affrontate </w:t>
      </w:r>
      <w:r w:rsidR="009F78C4" w:rsidRPr="00710C9B">
        <w:rPr>
          <w:rFonts w:ascii="Calibri" w:hAnsi="Calibri" w:cs="Calibri"/>
          <w:sz w:val="22"/>
          <w:szCs w:val="22"/>
        </w:rPr>
        <w:t>nel corso del convegno</w:t>
      </w:r>
      <w:r w:rsidR="007961F6" w:rsidRPr="00710C9B">
        <w:rPr>
          <w:rFonts w:ascii="Calibri" w:hAnsi="Calibri" w:cs="Calibri"/>
          <w:sz w:val="22"/>
          <w:szCs w:val="22"/>
        </w:rPr>
        <w:t xml:space="preserve"> promosso da Federmanager e dagli Ordini degli Ingegneri di Bologna, Ferrara e Ravenna</w:t>
      </w:r>
      <w:r w:rsidR="00D6330E" w:rsidRPr="00710C9B">
        <w:rPr>
          <w:rFonts w:ascii="Calibri" w:hAnsi="Calibri" w:cs="Calibri"/>
          <w:sz w:val="22"/>
          <w:szCs w:val="22"/>
        </w:rPr>
        <w:t xml:space="preserve"> </w:t>
      </w:r>
      <w:r w:rsidR="006A29BF" w:rsidRPr="00710C9B">
        <w:rPr>
          <w:rStyle w:val="s16"/>
          <w:rFonts w:asciiTheme="minorHAnsi" w:hAnsiTheme="minorHAnsi" w:cstheme="minorHAnsi"/>
          <w:b/>
          <w:bCs/>
          <w:color w:val="000000"/>
          <w:sz w:val="22"/>
          <w:szCs w:val="22"/>
        </w:rPr>
        <w:t>“</w:t>
      </w:r>
      <w:r w:rsidR="008C3AAA" w:rsidRPr="00710C9B">
        <w:rPr>
          <w:rStyle w:val="s17"/>
          <w:rFonts w:asciiTheme="minorHAnsi" w:hAnsiTheme="minorHAnsi" w:cstheme="minorHAnsi"/>
          <w:b/>
          <w:bCs/>
          <w:color w:val="000000"/>
          <w:sz w:val="22"/>
          <w:szCs w:val="22"/>
        </w:rPr>
        <w:t xml:space="preserve">Rendicontazione di sostenibilità di imprese, Amministrazioni pubbliche e territori: esperienze a confronto e opportunità derivanti dai nuovi obblighi informativi” </w:t>
      </w:r>
      <w:r w:rsidR="007961F6" w:rsidRPr="00710C9B">
        <w:rPr>
          <w:rFonts w:ascii="Calibri" w:hAnsi="Calibri" w:cs="Calibri"/>
          <w:sz w:val="22"/>
          <w:szCs w:val="22"/>
        </w:rPr>
        <w:t xml:space="preserve">che si è svolto </w:t>
      </w:r>
      <w:r w:rsidR="008C3AAA" w:rsidRPr="00710C9B">
        <w:rPr>
          <w:rFonts w:ascii="Calibri" w:hAnsi="Calibri" w:cs="Calibri"/>
          <w:sz w:val="22"/>
          <w:szCs w:val="22"/>
        </w:rPr>
        <w:t xml:space="preserve">on line </w:t>
      </w:r>
      <w:r w:rsidR="007961F6" w:rsidRPr="00710C9B">
        <w:rPr>
          <w:rFonts w:ascii="Calibri" w:hAnsi="Calibri" w:cs="Calibri"/>
          <w:sz w:val="22"/>
          <w:szCs w:val="22"/>
        </w:rPr>
        <w:t xml:space="preserve">nel pomeriggio di </w:t>
      </w:r>
      <w:r w:rsidR="0006658A" w:rsidRPr="00710C9B">
        <w:rPr>
          <w:rFonts w:ascii="Calibri" w:hAnsi="Calibri" w:cs="Calibri"/>
          <w:sz w:val="22"/>
          <w:szCs w:val="22"/>
        </w:rPr>
        <w:t>m</w:t>
      </w:r>
      <w:r w:rsidR="008C3AAA" w:rsidRPr="00710C9B">
        <w:rPr>
          <w:rFonts w:ascii="Calibri" w:hAnsi="Calibri" w:cs="Calibri"/>
          <w:sz w:val="22"/>
          <w:szCs w:val="22"/>
        </w:rPr>
        <w:t>artedì 14 novembre</w:t>
      </w:r>
      <w:r w:rsidR="0006658A" w:rsidRPr="00710C9B">
        <w:rPr>
          <w:rFonts w:ascii="Calibri" w:hAnsi="Calibri" w:cs="Calibri"/>
          <w:sz w:val="22"/>
          <w:szCs w:val="22"/>
        </w:rPr>
        <w:t xml:space="preserve"> </w:t>
      </w:r>
      <w:r w:rsidR="001E4694" w:rsidRPr="00710C9B">
        <w:rPr>
          <w:rFonts w:ascii="Calibri" w:hAnsi="Calibri" w:cs="Calibri"/>
          <w:sz w:val="22"/>
          <w:szCs w:val="22"/>
        </w:rPr>
        <w:t>alla presenza d</w:t>
      </w:r>
      <w:r w:rsidR="00B01CED" w:rsidRPr="00710C9B">
        <w:rPr>
          <w:rFonts w:ascii="Calibri" w:hAnsi="Calibri" w:cs="Calibri"/>
          <w:sz w:val="22"/>
          <w:szCs w:val="22"/>
        </w:rPr>
        <w:t xml:space="preserve">i </w:t>
      </w:r>
      <w:r w:rsidR="0043246D" w:rsidRPr="00710C9B">
        <w:rPr>
          <w:rFonts w:ascii="Calibri" w:hAnsi="Calibri" w:cs="Calibri"/>
          <w:sz w:val="22"/>
          <w:szCs w:val="22"/>
        </w:rPr>
        <w:t>circa</w:t>
      </w:r>
      <w:r w:rsidR="00B01CED" w:rsidRPr="00710C9B">
        <w:rPr>
          <w:rFonts w:ascii="Calibri" w:hAnsi="Calibri" w:cs="Calibri"/>
          <w:sz w:val="22"/>
          <w:szCs w:val="22"/>
        </w:rPr>
        <w:t xml:space="preserve"> </w:t>
      </w:r>
      <w:r w:rsidR="00181E57">
        <w:rPr>
          <w:rFonts w:ascii="Calibri" w:hAnsi="Calibri" w:cs="Calibri"/>
          <w:sz w:val="22"/>
          <w:szCs w:val="22"/>
        </w:rPr>
        <w:t>330</w:t>
      </w:r>
      <w:bookmarkStart w:id="0" w:name="_GoBack"/>
      <w:bookmarkEnd w:id="0"/>
      <w:r w:rsidR="00B01CED" w:rsidRPr="00710C9B">
        <w:rPr>
          <w:rFonts w:ascii="Calibri" w:hAnsi="Calibri" w:cs="Calibri"/>
          <w:sz w:val="22"/>
          <w:szCs w:val="22"/>
        </w:rPr>
        <w:t xml:space="preserve"> partecipanti</w:t>
      </w:r>
      <w:r w:rsidR="007961F6" w:rsidRPr="00710C9B">
        <w:rPr>
          <w:rFonts w:ascii="Calibri" w:hAnsi="Calibri" w:cs="Calibri"/>
          <w:sz w:val="22"/>
          <w:szCs w:val="22"/>
        </w:rPr>
        <w:t>.</w:t>
      </w:r>
    </w:p>
    <w:p w:rsidR="008C3AAA" w:rsidRPr="00BA07D5" w:rsidRDefault="008C3AAA" w:rsidP="00710C9B">
      <w:pPr>
        <w:pStyle w:val="s18"/>
        <w:spacing w:before="0" w:beforeAutospacing="0" w:after="120" w:afterAutospacing="0"/>
        <w:jc w:val="both"/>
        <w:rPr>
          <w:rFonts w:asciiTheme="minorHAnsi" w:hAnsiTheme="minorHAnsi" w:cstheme="minorHAnsi"/>
          <w:color w:val="000000"/>
          <w:sz w:val="22"/>
          <w:szCs w:val="22"/>
        </w:rPr>
      </w:pPr>
      <w:r w:rsidRPr="00BA07D5">
        <w:rPr>
          <w:rStyle w:val="s9"/>
          <w:rFonts w:asciiTheme="minorHAnsi" w:hAnsiTheme="minorHAnsi" w:cstheme="minorHAnsi"/>
          <w:color w:val="000000"/>
          <w:sz w:val="22"/>
          <w:szCs w:val="22"/>
        </w:rPr>
        <w:t xml:space="preserve">“La rendicontazione di sostenibilità e gli Obiettivi dell’Agenda 2030 stanno diventando parte integrante delle strategie della </w:t>
      </w:r>
      <w:proofErr w:type="spellStart"/>
      <w:r w:rsidRPr="00BA07D5">
        <w:rPr>
          <w:rStyle w:val="s9"/>
          <w:rFonts w:asciiTheme="minorHAnsi" w:hAnsiTheme="minorHAnsi" w:cstheme="minorHAnsi"/>
          <w:color w:val="000000"/>
          <w:sz w:val="22"/>
          <w:szCs w:val="22"/>
        </w:rPr>
        <w:t>governance</w:t>
      </w:r>
      <w:proofErr w:type="spellEnd"/>
      <w:r w:rsidRPr="00BA07D5">
        <w:rPr>
          <w:rStyle w:val="s9"/>
          <w:rFonts w:asciiTheme="minorHAnsi" w:hAnsiTheme="minorHAnsi" w:cstheme="minorHAnsi"/>
          <w:color w:val="000000"/>
          <w:sz w:val="22"/>
          <w:szCs w:val="22"/>
        </w:rPr>
        <w:t xml:space="preserve"> di imprese, enti e amministrazioni – spiegano </w:t>
      </w:r>
      <w:r w:rsidRPr="00BA07D5">
        <w:rPr>
          <w:rStyle w:val="s20"/>
          <w:rFonts w:asciiTheme="minorHAnsi" w:hAnsiTheme="minorHAnsi" w:cstheme="minorHAnsi"/>
          <w:b/>
          <w:bCs/>
          <w:color w:val="000000"/>
          <w:sz w:val="22"/>
          <w:szCs w:val="22"/>
        </w:rPr>
        <w:t xml:space="preserve">Sara Cirone </w:t>
      </w:r>
      <w:r w:rsidRPr="00BA07D5">
        <w:rPr>
          <w:rStyle w:val="s9"/>
          <w:rFonts w:asciiTheme="minorHAnsi" w:hAnsiTheme="minorHAnsi" w:cstheme="minorHAnsi"/>
          <w:color w:val="000000"/>
          <w:sz w:val="22"/>
          <w:szCs w:val="22"/>
        </w:rPr>
        <w:t xml:space="preserve">e </w:t>
      </w:r>
      <w:r w:rsidRPr="00BA07D5">
        <w:rPr>
          <w:rStyle w:val="s20"/>
          <w:rFonts w:asciiTheme="minorHAnsi" w:hAnsiTheme="minorHAnsi" w:cstheme="minorHAnsi"/>
          <w:b/>
          <w:bCs/>
          <w:color w:val="000000"/>
          <w:sz w:val="22"/>
          <w:szCs w:val="22"/>
        </w:rPr>
        <w:t xml:space="preserve">Roberto </w:t>
      </w:r>
      <w:proofErr w:type="spellStart"/>
      <w:r w:rsidRPr="00BA07D5">
        <w:rPr>
          <w:rStyle w:val="s20"/>
          <w:rFonts w:asciiTheme="minorHAnsi" w:hAnsiTheme="minorHAnsi" w:cstheme="minorHAnsi"/>
          <w:b/>
          <w:bCs/>
          <w:color w:val="000000"/>
          <w:sz w:val="22"/>
          <w:szCs w:val="22"/>
        </w:rPr>
        <w:t>Pettinari</w:t>
      </w:r>
      <w:proofErr w:type="spellEnd"/>
      <w:r w:rsidRPr="00BA07D5">
        <w:rPr>
          <w:rStyle w:val="s9"/>
          <w:rFonts w:asciiTheme="minorHAnsi" w:hAnsiTheme="minorHAnsi" w:cstheme="minorHAnsi"/>
          <w:color w:val="000000"/>
          <w:sz w:val="22"/>
          <w:szCs w:val="22"/>
        </w:rPr>
        <w:t xml:space="preserve">, Commissione Sostenibilità di </w:t>
      </w:r>
      <w:proofErr w:type="spellStart"/>
      <w:r w:rsidRPr="00BA07D5">
        <w:rPr>
          <w:rStyle w:val="s9"/>
          <w:rFonts w:asciiTheme="minorHAnsi" w:hAnsiTheme="minorHAnsi" w:cstheme="minorHAnsi"/>
          <w:color w:val="000000"/>
          <w:sz w:val="22"/>
          <w:szCs w:val="22"/>
        </w:rPr>
        <w:t>Federmanager</w:t>
      </w:r>
      <w:proofErr w:type="spellEnd"/>
      <w:r w:rsidRPr="00BA07D5">
        <w:rPr>
          <w:rStyle w:val="s9"/>
          <w:rFonts w:asciiTheme="minorHAnsi" w:hAnsiTheme="minorHAnsi" w:cstheme="minorHAnsi"/>
          <w:color w:val="000000"/>
          <w:sz w:val="22"/>
          <w:szCs w:val="22"/>
        </w:rPr>
        <w:t xml:space="preserve"> Bologna-Ferrara-Ravenna e moderatori del convegno –. I motivi sono molteplici, </w:t>
      </w:r>
      <w:r w:rsidR="00180A0D" w:rsidRPr="00BA07D5">
        <w:rPr>
          <w:rStyle w:val="s9"/>
          <w:rFonts w:asciiTheme="minorHAnsi" w:hAnsiTheme="minorHAnsi" w:cstheme="minorHAnsi"/>
          <w:color w:val="000000"/>
          <w:sz w:val="22"/>
          <w:szCs w:val="22"/>
        </w:rPr>
        <w:t xml:space="preserve">a partire dai </w:t>
      </w:r>
      <w:r w:rsidRPr="00BA07D5">
        <w:rPr>
          <w:rStyle w:val="s9"/>
          <w:rFonts w:asciiTheme="minorHAnsi" w:hAnsiTheme="minorHAnsi" w:cstheme="minorHAnsi"/>
          <w:color w:val="000000"/>
          <w:sz w:val="22"/>
          <w:szCs w:val="22"/>
        </w:rPr>
        <w:t>vantaggi derivanti dal rendere l’organizzazione più trasparente.”</w:t>
      </w:r>
    </w:p>
    <w:p w:rsidR="008C3AAA" w:rsidRPr="00710C9B" w:rsidRDefault="008C3AAA" w:rsidP="00710C9B">
      <w:pPr>
        <w:pStyle w:val="s18"/>
        <w:spacing w:before="0" w:beforeAutospacing="0" w:after="120" w:afterAutospacing="0"/>
        <w:jc w:val="both"/>
        <w:rPr>
          <w:rStyle w:val="s9"/>
          <w:rFonts w:asciiTheme="minorHAnsi" w:hAnsiTheme="minorHAnsi" w:cstheme="minorHAnsi"/>
          <w:color w:val="000000"/>
          <w:sz w:val="22"/>
          <w:szCs w:val="22"/>
        </w:rPr>
      </w:pPr>
      <w:r w:rsidRPr="00BA07D5">
        <w:rPr>
          <w:rStyle w:val="s9"/>
          <w:rFonts w:asciiTheme="minorHAnsi" w:hAnsiTheme="minorHAnsi" w:cstheme="minorHAnsi"/>
          <w:color w:val="000000"/>
          <w:sz w:val="22"/>
          <w:szCs w:val="22"/>
        </w:rPr>
        <w:t xml:space="preserve">“Anche quando </w:t>
      </w:r>
      <w:r w:rsidRPr="00BA07D5">
        <w:rPr>
          <w:rStyle w:val="s21"/>
          <w:rFonts w:asciiTheme="minorHAnsi" w:hAnsiTheme="minorHAnsi" w:cstheme="minorHAnsi"/>
          <w:color w:val="000000"/>
          <w:sz w:val="22"/>
          <w:szCs w:val="22"/>
          <w:shd w:val="clear" w:color="auto" w:fill="FFFFFF"/>
        </w:rPr>
        <w:t>il bilancio di sostenibilità non è obblig</w:t>
      </w:r>
      <w:r w:rsidR="00180A0D" w:rsidRPr="00BA07D5">
        <w:rPr>
          <w:rStyle w:val="s21"/>
          <w:rFonts w:asciiTheme="minorHAnsi" w:hAnsiTheme="minorHAnsi" w:cstheme="minorHAnsi"/>
          <w:color w:val="000000"/>
          <w:sz w:val="22"/>
          <w:szCs w:val="22"/>
          <w:shd w:val="clear" w:color="auto" w:fill="FFFFFF"/>
        </w:rPr>
        <w:t>atorio</w:t>
      </w:r>
      <w:r w:rsidRPr="00BA07D5">
        <w:rPr>
          <w:rStyle w:val="s21"/>
          <w:rFonts w:asciiTheme="minorHAnsi" w:hAnsiTheme="minorHAnsi" w:cstheme="minorHAnsi"/>
          <w:color w:val="000000"/>
          <w:sz w:val="22"/>
          <w:szCs w:val="22"/>
          <w:shd w:val="clear" w:color="auto" w:fill="FFFFFF"/>
        </w:rPr>
        <w:t xml:space="preserve">, redigerlo è comunque un elemento di differenziazione, alla luce della crescente attenzione al cosiddetto </w:t>
      </w:r>
      <w:r w:rsidRPr="00BA07D5">
        <w:rPr>
          <w:rStyle w:val="s22"/>
          <w:rFonts w:asciiTheme="minorHAnsi" w:hAnsiTheme="minorHAnsi" w:cstheme="minorHAnsi"/>
          <w:b/>
          <w:bCs/>
          <w:color w:val="000000"/>
          <w:sz w:val="22"/>
          <w:szCs w:val="22"/>
          <w:shd w:val="clear" w:color="auto" w:fill="FFFFFF"/>
        </w:rPr>
        <w:t>rating</w:t>
      </w:r>
      <w:r w:rsidRPr="00BA07D5">
        <w:rPr>
          <w:rStyle w:val="s21"/>
          <w:rFonts w:asciiTheme="minorHAnsi" w:hAnsiTheme="minorHAnsi" w:cstheme="minorHAnsi"/>
          <w:color w:val="000000"/>
          <w:sz w:val="22"/>
          <w:szCs w:val="22"/>
          <w:shd w:val="clear" w:color="auto" w:fill="FFFFFF"/>
        </w:rPr>
        <w:t xml:space="preserve"> </w:t>
      </w:r>
      <w:r w:rsidRPr="00BA07D5">
        <w:rPr>
          <w:rStyle w:val="s20"/>
          <w:rFonts w:asciiTheme="minorHAnsi" w:hAnsiTheme="minorHAnsi" w:cstheme="minorHAnsi"/>
          <w:b/>
          <w:bCs/>
          <w:color w:val="000000"/>
          <w:sz w:val="22"/>
          <w:szCs w:val="22"/>
        </w:rPr>
        <w:t xml:space="preserve">ESG, </w:t>
      </w:r>
      <w:r w:rsidRPr="00BA07D5">
        <w:rPr>
          <w:rStyle w:val="s9"/>
          <w:rFonts w:asciiTheme="minorHAnsi" w:hAnsiTheme="minorHAnsi" w:cstheme="minorHAnsi"/>
          <w:color w:val="000000"/>
          <w:sz w:val="22"/>
          <w:szCs w:val="22"/>
        </w:rPr>
        <w:t xml:space="preserve">(Environment, Social e </w:t>
      </w:r>
      <w:proofErr w:type="spellStart"/>
      <w:r w:rsidRPr="00BA07D5">
        <w:rPr>
          <w:rStyle w:val="s9"/>
          <w:rFonts w:asciiTheme="minorHAnsi" w:hAnsiTheme="minorHAnsi" w:cstheme="minorHAnsi"/>
          <w:color w:val="000000"/>
          <w:sz w:val="22"/>
          <w:szCs w:val="22"/>
        </w:rPr>
        <w:t>Governance</w:t>
      </w:r>
      <w:proofErr w:type="spellEnd"/>
      <w:r w:rsidRPr="00BA07D5">
        <w:rPr>
          <w:rStyle w:val="s9"/>
          <w:rFonts w:asciiTheme="minorHAnsi" w:hAnsiTheme="minorHAnsi" w:cstheme="minorHAnsi"/>
          <w:color w:val="000000"/>
          <w:sz w:val="22"/>
          <w:szCs w:val="22"/>
        </w:rPr>
        <w:t>). Su questi nuovi indicatori, infatti, le filiere economiche vengono sempre maggiormente misurate, al di là dei soli aspetti finanziari, per verificarne, valutarne e sostenerne l'impegno in termini di sostenibilità di una impresa o di una organizzazione.”</w:t>
      </w:r>
    </w:p>
    <w:p w:rsidR="00605DE9" w:rsidRPr="00DE4418" w:rsidRDefault="00605DE9" w:rsidP="00710C9B">
      <w:pPr>
        <w:pStyle w:val="s18"/>
        <w:spacing w:before="0" w:beforeAutospacing="0" w:after="120" w:afterAutospacing="0"/>
        <w:jc w:val="both"/>
        <w:rPr>
          <w:rStyle w:val="s9"/>
          <w:rFonts w:asciiTheme="minorHAnsi" w:hAnsiTheme="minorHAnsi" w:cstheme="minorHAnsi"/>
          <w:b/>
          <w:color w:val="31849B" w:themeColor="accent5" w:themeShade="BF"/>
          <w:sz w:val="22"/>
          <w:szCs w:val="22"/>
        </w:rPr>
      </w:pPr>
      <w:r w:rsidRPr="00DE4418">
        <w:rPr>
          <w:rStyle w:val="s9"/>
          <w:rFonts w:asciiTheme="minorHAnsi" w:hAnsiTheme="minorHAnsi" w:cstheme="minorHAnsi"/>
          <w:b/>
          <w:color w:val="31849B" w:themeColor="accent5" w:themeShade="BF"/>
          <w:sz w:val="22"/>
          <w:szCs w:val="22"/>
        </w:rPr>
        <w:t>Lo scenario</w:t>
      </w:r>
    </w:p>
    <w:p w:rsidR="00605DE9" w:rsidRPr="00710C9B" w:rsidRDefault="00605DE9" w:rsidP="00710C9B">
      <w:pPr>
        <w:pStyle w:val="s18"/>
        <w:spacing w:before="0" w:beforeAutospacing="0" w:after="120" w:afterAutospacing="0"/>
        <w:jc w:val="both"/>
        <w:rPr>
          <w:rStyle w:val="s21"/>
          <w:rFonts w:asciiTheme="minorHAnsi" w:hAnsiTheme="minorHAnsi" w:cstheme="minorHAnsi"/>
          <w:color w:val="000000"/>
          <w:sz w:val="22"/>
          <w:szCs w:val="22"/>
          <w:shd w:val="clear" w:color="auto" w:fill="FFFFFF"/>
        </w:rPr>
      </w:pPr>
      <w:r w:rsidRPr="00710C9B">
        <w:rPr>
          <w:rStyle w:val="s21"/>
          <w:rFonts w:asciiTheme="minorHAnsi" w:hAnsiTheme="minorHAnsi" w:cstheme="minorHAnsi"/>
          <w:color w:val="000000"/>
          <w:sz w:val="22"/>
          <w:szCs w:val="22"/>
          <w:shd w:val="clear" w:color="auto" w:fill="FFFFFF"/>
        </w:rPr>
        <w:t xml:space="preserve">Nell'Unione Europea, quindi anche in Italia, la Direttiva sulla divulgazione delle informazioni non finanziarie (NFRD) impone per ora solo alle </w:t>
      </w:r>
      <w:r w:rsidRPr="00710C9B">
        <w:rPr>
          <w:rStyle w:val="s22"/>
          <w:rFonts w:asciiTheme="minorHAnsi" w:hAnsiTheme="minorHAnsi" w:cstheme="minorHAnsi"/>
          <w:b/>
          <w:bCs/>
          <w:color w:val="000000"/>
          <w:sz w:val="22"/>
          <w:szCs w:val="22"/>
          <w:shd w:val="clear" w:color="auto" w:fill="FFFFFF"/>
        </w:rPr>
        <w:t>grandi imprese di interesse pubblico con più di 500 dipendenti</w:t>
      </w:r>
      <w:r w:rsidRPr="00710C9B">
        <w:rPr>
          <w:rStyle w:val="s21"/>
          <w:rFonts w:asciiTheme="minorHAnsi" w:hAnsiTheme="minorHAnsi" w:cstheme="minorHAnsi"/>
          <w:color w:val="000000"/>
          <w:sz w:val="22"/>
          <w:szCs w:val="22"/>
          <w:shd w:val="clear" w:color="auto" w:fill="FFFFFF"/>
        </w:rPr>
        <w:t>– società quotate, banche e assicurazioni - di includere nel loro bilancio un report di sostenibilità.</w:t>
      </w:r>
    </w:p>
    <w:p w:rsidR="001E1B6F" w:rsidRDefault="00605DE9" w:rsidP="00710C9B">
      <w:pPr>
        <w:pStyle w:val="s18"/>
        <w:spacing w:before="0" w:beforeAutospacing="0" w:after="120" w:afterAutospacing="0"/>
        <w:jc w:val="both"/>
        <w:rPr>
          <w:rFonts w:asciiTheme="minorHAnsi" w:hAnsiTheme="minorHAnsi" w:cstheme="minorHAnsi"/>
          <w:color w:val="000000"/>
          <w:sz w:val="22"/>
          <w:szCs w:val="22"/>
        </w:rPr>
      </w:pPr>
      <w:r w:rsidRPr="00710C9B">
        <w:rPr>
          <w:rFonts w:asciiTheme="minorHAnsi" w:hAnsiTheme="minorHAnsi" w:cstheme="minorHAnsi"/>
          <w:color w:val="000000"/>
          <w:sz w:val="22"/>
          <w:szCs w:val="22"/>
        </w:rPr>
        <w:t>La nuova</w:t>
      </w:r>
      <w:r w:rsidR="00BE3D0D">
        <w:rPr>
          <w:rFonts w:asciiTheme="minorHAnsi" w:hAnsiTheme="minorHAnsi" w:cstheme="minorHAnsi"/>
          <w:color w:val="000000"/>
          <w:sz w:val="22"/>
          <w:szCs w:val="22"/>
        </w:rPr>
        <w:t xml:space="preserve"> </w:t>
      </w:r>
      <w:r w:rsidR="00BE3D0D" w:rsidRPr="00BE3D0D">
        <w:rPr>
          <w:rFonts w:asciiTheme="minorHAnsi" w:hAnsiTheme="minorHAnsi" w:cstheme="minorHAnsi"/>
          <w:b/>
          <w:color w:val="000000"/>
          <w:sz w:val="22"/>
          <w:szCs w:val="22"/>
        </w:rPr>
        <w:t>direttiva europea</w:t>
      </w:r>
      <w:r w:rsidRPr="00BE3D0D">
        <w:rPr>
          <w:rFonts w:asciiTheme="minorHAnsi" w:hAnsiTheme="minorHAnsi" w:cstheme="minorHAnsi"/>
          <w:b/>
          <w:color w:val="000000"/>
          <w:sz w:val="22"/>
          <w:szCs w:val="22"/>
        </w:rPr>
        <w:t xml:space="preserve"> CSRD</w:t>
      </w:r>
      <w:r w:rsidRPr="00710C9B">
        <w:rPr>
          <w:rFonts w:asciiTheme="minorHAnsi" w:hAnsiTheme="minorHAnsi" w:cstheme="minorHAnsi"/>
          <w:color w:val="000000"/>
          <w:sz w:val="22"/>
          <w:szCs w:val="22"/>
        </w:rPr>
        <w:t xml:space="preserve"> (Corporate </w:t>
      </w:r>
      <w:proofErr w:type="spellStart"/>
      <w:r w:rsidRPr="00710C9B">
        <w:rPr>
          <w:rFonts w:asciiTheme="minorHAnsi" w:hAnsiTheme="minorHAnsi" w:cstheme="minorHAnsi"/>
          <w:color w:val="000000"/>
          <w:sz w:val="22"/>
          <w:szCs w:val="22"/>
        </w:rPr>
        <w:t>Sustainability</w:t>
      </w:r>
      <w:proofErr w:type="spellEnd"/>
      <w:r w:rsidRPr="00710C9B">
        <w:rPr>
          <w:rFonts w:asciiTheme="minorHAnsi" w:hAnsiTheme="minorHAnsi" w:cstheme="minorHAnsi"/>
          <w:color w:val="000000"/>
          <w:sz w:val="22"/>
          <w:szCs w:val="22"/>
        </w:rPr>
        <w:t xml:space="preserve"> Reporting Directive), pubblicata a fine 2022 sulla Gazzetta Ufficiale dell’Unione Europea, prevede l’</w:t>
      </w:r>
      <w:r w:rsidRPr="00BE3D0D">
        <w:rPr>
          <w:rFonts w:asciiTheme="minorHAnsi" w:hAnsiTheme="minorHAnsi" w:cstheme="minorHAnsi"/>
          <w:b/>
          <w:color w:val="000000"/>
          <w:sz w:val="22"/>
          <w:szCs w:val="22"/>
        </w:rPr>
        <w:t xml:space="preserve">applicazione obbligatoria </w:t>
      </w:r>
      <w:r w:rsidRPr="00710C9B">
        <w:rPr>
          <w:rFonts w:asciiTheme="minorHAnsi" w:hAnsiTheme="minorHAnsi" w:cstheme="minorHAnsi"/>
          <w:color w:val="000000"/>
          <w:sz w:val="22"/>
          <w:szCs w:val="22"/>
        </w:rPr>
        <w:t>a partire dall’esercizio 2024 per gli Enti di Interesse Pubblico</w:t>
      </w:r>
      <w:r w:rsidR="001E1B6F">
        <w:rPr>
          <w:rFonts w:asciiTheme="minorHAnsi" w:hAnsiTheme="minorHAnsi" w:cstheme="minorHAnsi"/>
          <w:color w:val="000000"/>
          <w:sz w:val="22"/>
          <w:szCs w:val="22"/>
        </w:rPr>
        <w:t xml:space="preserve"> (EIP)</w:t>
      </w:r>
      <w:r w:rsidRPr="00710C9B">
        <w:rPr>
          <w:rFonts w:asciiTheme="minorHAnsi" w:hAnsiTheme="minorHAnsi" w:cstheme="minorHAnsi"/>
          <w:color w:val="000000"/>
          <w:sz w:val="22"/>
          <w:szCs w:val="22"/>
        </w:rPr>
        <w:t xml:space="preserve"> obbligati alla NFRD, ovvero con più di 500 dipendenti in media occupati, a partire dall’esercizio 2025 per altre imprese di grandi dimensioni che non siano EIP che eccedano almeno due dei seguenti parametri tra 250 dipendenti in media occupati, 20 milioni di euro di attivo e 40 milioni di euro di fatturato e a partire dall’esercizio 2026 per le PMI quotate europee con relativa deroga per due anni se giustificata nella relazione sulla</w:t>
      </w:r>
      <w:r w:rsidR="001E1B6F">
        <w:rPr>
          <w:rFonts w:asciiTheme="minorHAnsi" w:hAnsiTheme="minorHAnsi" w:cstheme="minorHAnsi"/>
          <w:color w:val="000000"/>
          <w:sz w:val="22"/>
          <w:szCs w:val="22"/>
        </w:rPr>
        <w:t xml:space="preserve"> gestione.</w:t>
      </w:r>
    </w:p>
    <w:p w:rsidR="00605DE9" w:rsidRPr="00710C9B" w:rsidRDefault="00605DE9" w:rsidP="00710C9B">
      <w:pPr>
        <w:pStyle w:val="s18"/>
        <w:spacing w:before="0" w:beforeAutospacing="0" w:after="120" w:afterAutospacing="0"/>
        <w:jc w:val="both"/>
        <w:rPr>
          <w:rFonts w:asciiTheme="minorHAnsi" w:hAnsiTheme="minorHAnsi" w:cstheme="minorHAnsi"/>
          <w:color w:val="000000"/>
          <w:sz w:val="22"/>
          <w:szCs w:val="22"/>
        </w:rPr>
      </w:pPr>
      <w:r w:rsidRPr="00710C9B">
        <w:rPr>
          <w:rFonts w:asciiTheme="minorHAnsi" w:hAnsiTheme="minorHAnsi" w:cstheme="minorHAnsi"/>
          <w:color w:val="000000"/>
          <w:sz w:val="22"/>
          <w:szCs w:val="22"/>
        </w:rPr>
        <w:t xml:space="preserve">Infine, l’applicazione sarà obbligatoria dal 2028 per le filiali di imprese extra UE che ricadono nell’ambito CSRD e </w:t>
      </w:r>
      <w:r w:rsidRPr="00BE3D0D">
        <w:rPr>
          <w:rFonts w:asciiTheme="minorHAnsi" w:hAnsiTheme="minorHAnsi" w:cstheme="minorHAnsi"/>
          <w:b/>
          <w:color w:val="000000"/>
          <w:sz w:val="22"/>
          <w:szCs w:val="22"/>
        </w:rPr>
        <w:t>volontaria per le PMI europee non quotate</w:t>
      </w:r>
      <w:r w:rsidRPr="00710C9B">
        <w:rPr>
          <w:rFonts w:asciiTheme="minorHAnsi" w:hAnsiTheme="minorHAnsi" w:cstheme="minorHAnsi"/>
          <w:color w:val="000000"/>
          <w:sz w:val="22"/>
          <w:szCs w:val="22"/>
        </w:rPr>
        <w:t>.</w:t>
      </w:r>
    </w:p>
    <w:p w:rsidR="00EB7EDB" w:rsidRPr="00DE4418" w:rsidRDefault="008C3AAA" w:rsidP="00710C9B">
      <w:pPr>
        <w:spacing w:after="120" w:line="240" w:lineRule="auto"/>
        <w:jc w:val="both"/>
        <w:rPr>
          <w:rFonts w:ascii="Calibri" w:hAnsi="Calibri" w:cs="Calibri"/>
          <w:b/>
          <w:color w:val="31849B" w:themeColor="accent5" w:themeShade="BF"/>
        </w:rPr>
      </w:pPr>
      <w:r w:rsidRPr="00DE4418">
        <w:rPr>
          <w:rFonts w:ascii="Calibri" w:hAnsi="Calibri" w:cs="Calibri"/>
          <w:b/>
          <w:color w:val="31849B" w:themeColor="accent5" w:themeShade="BF"/>
        </w:rPr>
        <w:t>Reporting di sostenibilità occasione imperdibile</w:t>
      </w:r>
    </w:p>
    <w:p w:rsidR="00A01368" w:rsidRDefault="00A01368" w:rsidP="00A01368">
      <w:pPr>
        <w:spacing w:after="120" w:line="240" w:lineRule="auto"/>
        <w:jc w:val="both"/>
        <w:rPr>
          <w:rFonts w:cstheme="minorHAnsi"/>
        </w:rPr>
      </w:pPr>
      <w:r w:rsidRPr="00710C9B">
        <w:rPr>
          <w:rFonts w:cstheme="minorHAnsi"/>
        </w:rPr>
        <w:t>Quante imprese sono pronte a raccogliere questa sfida normativa?</w:t>
      </w:r>
      <w:r>
        <w:rPr>
          <w:rFonts w:cstheme="minorHAnsi"/>
        </w:rPr>
        <w:t xml:space="preserve"> </w:t>
      </w:r>
      <w:r>
        <w:rPr>
          <w:rFonts w:ascii="Calibri" w:hAnsi="Calibri" w:cs="Calibri"/>
        </w:rPr>
        <w:t>L’</w:t>
      </w:r>
      <w:r w:rsidRPr="00BE3D0D">
        <w:rPr>
          <w:rFonts w:ascii="Calibri" w:hAnsi="Calibri" w:cs="Calibri"/>
        </w:rPr>
        <w:t>impatto per l'Italia nel 2025</w:t>
      </w:r>
      <w:r>
        <w:rPr>
          <w:rFonts w:ascii="Calibri" w:hAnsi="Calibri" w:cs="Calibri"/>
        </w:rPr>
        <w:t xml:space="preserve"> sarà sensibile: le </w:t>
      </w:r>
      <w:r w:rsidRPr="00BE3D0D">
        <w:rPr>
          <w:rFonts w:ascii="Calibri" w:hAnsi="Calibri" w:cs="Calibri"/>
        </w:rPr>
        <w:t xml:space="preserve">aziende che saranno tenute a produrre un Report di sostenibilità </w:t>
      </w:r>
      <w:r>
        <w:rPr>
          <w:rFonts w:ascii="Calibri" w:hAnsi="Calibri" w:cs="Calibri"/>
        </w:rPr>
        <w:t xml:space="preserve">si stimano in </w:t>
      </w:r>
      <w:r w:rsidRPr="00BE3D0D">
        <w:rPr>
          <w:rFonts w:ascii="Calibri" w:hAnsi="Calibri" w:cs="Calibri"/>
        </w:rPr>
        <w:t xml:space="preserve">oltre </w:t>
      </w:r>
      <w:r w:rsidRPr="00BE3D0D">
        <w:rPr>
          <w:rFonts w:ascii="Calibri" w:hAnsi="Calibri" w:cs="Calibri"/>
          <w:b/>
        </w:rPr>
        <w:t>7.800</w:t>
      </w:r>
      <w:r w:rsidRPr="00BE3D0D">
        <w:rPr>
          <w:rFonts w:ascii="Calibri" w:hAnsi="Calibri" w:cs="Calibri"/>
        </w:rPr>
        <w:t xml:space="preserve">. Di queste, circa mille in </w:t>
      </w:r>
      <w:r w:rsidRPr="00BE3D0D">
        <w:rPr>
          <w:rFonts w:ascii="Calibri" w:hAnsi="Calibri" w:cs="Calibri"/>
          <w:b/>
        </w:rPr>
        <w:t>Emilia Romagna</w:t>
      </w:r>
      <w:r w:rsidRPr="00BE3D0D">
        <w:rPr>
          <w:rFonts w:ascii="Calibri" w:hAnsi="Calibri" w:cs="Calibri"/>
        </w:rPr>
        <w:t xml:space="preserve"> e in </w:t>
      </w:r>
      <w:r w:rsidRPr="00BE3D0D">
        <w:rPr>
          <w:rFonts w:ascii="Calibri" w:hAnsi="Calibri" w:cs="Calibri"/>
          <w:b/>
        </w:rPr>
        <w:t>Veneto</w:t>
      </w:r>
      <w:r w:rsidRPr="00BE3D0D">
        <w:rPr>
          <w:rFonts w:ascii="Calibri" w:hAnsi="Calibri" w:cs="Calibri"/>
        </w:rPr>
        <w:t xml:space="preserve">, quasi 3mila in </w:t>
      </w:r>
      <w:r w:rsidRPr="00BE3D0D">
        <w:rPr>
          <w:rFonts w:ascii="Calibri" w:hAnsi="Calibri" w:cs="Calibri"/>
          <w:b/>
        </w:rPr>
        <w:t>Lombardia</w:t>
      </w:r>
      <w:r>
        <w:rPr>
          <w:rFonts w:ascii="Calibri" w:hAnsi="Calibri" w:cs="Calibri"/>
        </w:rPr>
        <w:t xml:space="preserve">. </w:t>
      </w:r>
      <w:r w:rsidRPr="004F5021">
        <w:rPr>
          <w:rFonts w:ascii="Calibri" w:hAnsi="Calibri" w:cs="Calibri"/>
          <w:b/>
        </w:rPr>
        <w:t>Industria e commercio</w:t>
      </w:r>
      <w:r>
        <w:rPr>
          <w:rFonts w:ascii="Calibri" w:hAnsi="Calibri" w:cs="Calibri"/>
        </w:rPr>
        <w:t xml:space="preserve"> i settori </w:t>
      </w:r>
      <w:r>
        <w:rPr>
          <w:rFonts w:ascii="Calibri" w:hAnsi="Calibri" w:cs="Calibri"/>
        </w:rPr>
        <w:lastRenderedPageBreak/>
        <w:t>più coinvolti.</w:t>
      </w:r>
      <w:r w:rsidR="00180A0D">
        <w:rPr>
          <w:rFonts w:ascii="Calibri" w:hAnsi="Calibri" w:cs="Calibri"/>
        </w:rPr>
        <w:t xml:space="preserve"> </w:t>
      </w:r>
      <w:r>
        <w:rPr>
          <w:rFonts w:ascii="Calibri" w:hAnsi="Calibri" w:cs="Calibri"/>
        </w:rPr>
        <w:t>I dati sono contenuti nel</w:t>
      </w:r>
      <w:r>
        <w:rPr>
          <w:rFonts w:cstheme="minorHAnsi"/>
        </w:rPr>
        <w:t xml:space="preserve">la </w:t>
      </w:r>
      <w:hyperlink r:id="rId7" w:history="1">
        <w:r w:rsidRPr="004E55FF">
          <w:rPr>
            <w:rStyle w:val="Collegamentoipertestuale"/>
            <w:rFonts w:cstheme="minorHAnsi"/>
          </w:rPr>
          <w:t>ricerca inedita</w:t>
        </w:r>
      </w:hyperlink>
      <w:r w:rsidRPr="00710C9B">
        <w:rPr>
          <w:rFonts w:cstheme="minorHAnsi"/>
        </w:rPr>
        <w:t xml:space="preserve"> pubblicata dal Gruppo di ricerca “PMI e sviluppo sostenibile” del GBS</w:t>
      </w:r>
      <w:r w:rsidR="001E1B6F">
        <w:rPr>
          <w:rFonts w:cstheme="minorHAnsi"/>
        </w:rPr>
        <w:t xml:space="preserve">, </w:t>
      </w:r>
      <w:r w:rsidRPr="00710C9B">
        <w:rPr>
          <w:rFonts w:cstheme="minorHAnsi"/>
        </w:rPr>
        <w:t>Gruppo Bilanci e Sostenibilità</w:t>
      </w:r>
      <w:r>
        <w:rPr>
          <w:rFonts w:cstheme="minorHAnsi"/>
        </w:rPr>
        <w:t xml:space="preserve">, </w:t>
      </w:r>
      <w:r w:rsidRPr="00710C9B">
        <w:rPr>
          <w:rFonts w:cstheme="minorHAnsi"/>
        </w:rPr>
        <w:t>in collaborazione con il CNDCEC</w:t>
      </w:r>
      <w:r w:rsidR="001E1B6F">
        <w:rPr>
          <w:rFonts w:cstheme="minorHAnsi"/>
        </w:rPr>
        <w:t xml:space="preserve">, </w:t>
      </w:r>
      <w:r w:rsidRPr="00710C9B">
        <w:rPr>
          <w:rFonts w:cstheme="minorHAnsi"/>
        </w:rPr>
        <w:t>Consiglio Nazionale dei Dottori Commercialisti e degli Esperti Contabili</w:t>
      </w:r>
      <w:r w:rsidR="001E1B6F">
        <w:rPr>
          <w:rFonts w:cstheme="minorHAnsi"/>
        </w:rPr>
        <w:t xml:space="preserve">, </w:t>
      </w:r>
      <w:r w:rsidRPr="00710C9B">
        <w:rPr>
          <w:rFonts w:cstheme="minorHAnsi"/>
        </w:rPr>
        <w:t>sull’impatto della CSRD</w:t>
      </w:r>
      <w:r>
        <w:rPr>
          <w:rFonts w:cstheme="minorHAnsi"/>
        </w:rPr>
        <w:t xml:space="preserve"> sulle imprese italiane.</w:t>
      </w:r>
    </w:p>
    <w:p w:rsidR="00A01368" w:rsidRDefault="00A01368" w:rsidP="00A01368">
      <w:pPr>
        <w:pStyle w:val="s18"/>
        <w:spacing w:before="0" w:beforeAutospacing="0" w:after="120" w:afterAutospacing="0"/>
        <w:jc w:val="both"/>
        <w:rPr>
          <w:rFonts w:cstheme="minorHAnsi"/>
        </w:rPr>
      </w:pPr>
      <w:r w:rsidRPr="00A01368">
        <w:rPr>
          <w:rStyle w:val="s24"/>
          <w:rFonts w:asciiTheme="minorHAnsi" w:hAnsiTheme="minorHAnsi" w:cstheme="minorHAnsi"/>
          <w:bCs/>
          <w:color w:val="000000"/>
          <w:sz w:val="22"/>
          <w:szCs w:val="22"/>
        </w:rPr>
        <w:t xml:space="preserve">Per </w:t>
      </w:r>
      <w:r w:rsidR="008C3AAA" w:rsidRPr="00710C9B">
        <w:rPr>
          <w:rStyle w:val="s24"/>
          <w:rFonts w:asciiTheme="minorHAnsi" w:hAnsiTheme="minorHAnsi" w:cstheme="minorHAnsi"/>
          <w:b/>
          <w:bCs/>
          <w:color w:val="000000"/>
          <w:sz w:val="22"/>
          <w:szCs w:val="22"/>
        </w:rPr>
        <w:t>Andrea Venturelli</w:t>
      </w:r>
      <w:r w:rsidR="008C3AAA" w:rsidRPr="00710C9B">
        <w:rPr>
          <w:rStyle w:val="s23"/>
          <w:rFonts w:asciiTheme="minorHAnsi" w:hAnsiTheme="minorHAnsi" w:cstheme="minorHAnsi"/>
          <w:color w:val="000000"/>
          <w:sz w:val="22"/>
          <w:szCs w:val="22"/>
        </w:rPr>
        <w:t>, Professore Associato di Economia Aziendale Universit</w:t>
      </w:r>
      <w:r>
        <w:rPr>
          <w:rStyle w:val="s23"/>
          <w:rFonts w:asciiTheme="minorHAnsi" w:hAnsiTheme="minorHAnsi" w:cstheme="minorHAnsi"/>
          <w:color w:val="000000"/>
          <w:sz w:val="22"/>
          <w:szCs w:val="22"/>
        </w:rPr>
        <w:t>à del Salento e Presidente GBS “l</w:t>
      </w:r>
      <w:r w:rsidR="008C3AAA" w:rsidRPr="00710C9B">
        <w:rPr>
          <w:rFonts w:asciiTheme="minorHAnsi" w:hAnsiTheme="minorHAnsi" w:cstheme="minorHAnsi"/>
          <w:sz w:val="22"/>
          <w:szCs w:val="22"/>
        </w:rPr>
        <w:t>’adozione di standard per il reporting di sostenib</w:t>
      </w:r>
      <w:r w:rsidR="00605DE9" w:rsidRPr="00710C9B">
        <w:rPr>
          <w:rFonts w:cstheme="minorHAnsi"/>
          <w:sz w:val="22"/>
          <w:szCs w:val="22"/>
        </w:rPr>
        <w:t>i</w:t>
      </w:r>
      <w:r w:rsidR="008C3AAA" w:rsidRPr="00710C9B">
        <w:rPr>
          <w:rFonts w:asciiTheme="minorHAnsi" w:hAnsiTheme="minorHAnsi" w:cstheme="minorHAnsi"/>
          <w:sz w:val="22"/>
          <w:szCs w:val="22"/>
        </w:rPr>
        <w:t xml:space="preserve">lità rappresenta un’occasione imperdibile per introdurre in azienda quel processo di cambiamento organizzativo collegato non soltanto </w:t>
      </w:r>
      <w:r w:rsidR="004E55FF">
        <w:rPr>
          <w:rFonts w:cstheme="minorHAnsi"/>
        </w:rPr>
        <w:t xml:space="preserve">ad </w:t>
      </w:r>
      <w:r w:rsidR="008C3AAA" w:rsidRPr="00710C9B">
        <w:rPr>
          <w:rFonts w:asciiTheme="minorHAnsi" w:hAnsiTheme="minorHAnsi" w:cstheme="minorHAnsi"/>
          <w:sz w:val="22"/>
          <w:szCs w:val="22"/>
        </w:rPr>
        <w:t xml:space="preserve">aspetti di reporting, ma soprattutto ad aspetti più propriamente riconducibili alla strategia, alla </w:t>
      </w:r>
      <w:proofErr w:type="spellStart"/>
      <w:r w:rsidR="008C3AAA" w:rsidRPr="00710C9B">
        <w:rPr>
          <w:rFonts w:asciiTheme="minorHAnsi" w:hAnsiTheme="minorHAnsi" w:cstheme="minorHAnsi"/>
          <w:sz w:val="22"/>
          <w:szCs w:val="22"/>
        </w:rPr>
        <w:t>governance</w:t>
      </w:r>
      <w:proofErr w:type="spellEnd"/>
      <w:r w:rsidR="008C3AAA" w:rsidRPr="00710C9B">
        <w:rPr>
          <w:rFonts w:asciiTheme="minorHAnsi" w:hAnsiTheme="minorHAnsi" w:cstheme="minorHAnsi"/>
          <w:sz w:val="22"/>
          <w:szCs w:val="22"/>
        </w:rPr>
        <w:t xml:space="preserve"> ed alla gestione aziendale.</w:t>
      </w:r>
      <w:r>
        <w:rPr>
          <w:rFonts w:cstheme="minorHAnsi"/>
        </w:rPr>
        <w:t>”</w:t>
      </w:r>
    </w:p>
    <w:p w:rsidR="008C3AAA" w:rsidRPr="00710C9B" w:rsidRDefault="00A01368" w:rsidP="00A01368">
      <w:pPr>
        <w:pStyle w:val="s18"/>
        <w:spacing w:before="0" w:beforeAutospacing="0" w:after="120" w:afterAutospacing="0"/>
        <w:jc w:val="both"/>
        <w:rPr>
          <w:rFonts w:asciiTheme="minorHAnsi" w:hAnsiTheme="minorHAnsi" w:cstheme="minorHAnsi"/>
          <w:sz w:val="22"/>
          <w:szCs w:val="22"/>
        </w:rPr>
      </w:pPr>
      <w:r>
        <w:rPr>
          <w:rFonts w:cstheme="minorHAnsi"/>
        </w:rPr>
        <w:t>“</w:t>
      </w:r>
      <w:r w:rsidR="008C3AAA" w:rsidRPr="00710C9B">
        <w:rPr>
          <w:rFonts w:asciiTheme="minorHAnsi" w:hAnsiTheme="minorHAnsi" w:cstheme="minorHAnsi"/>
          <w:sz w:val="22"/>
          <w:szCs w:val="22"/>
        </w:rPr>
        <w:t>Non v’è dubbio, infatti</w:t>
      </w:r>
      <w:r>
        <w:rPr>
          <w:rFonts w:asciiTheme="minorHAnsi" w:hAnsiTheme="minorHAnsi" w:cstheme="minorHAnsi"/>
          <w:sz w:val="22"/>
          <w:szCs w:val="22"/>
        </w:rPr>
        <w:t xml:space="preserve"> – prosegue - </w:t>
      </w:r>
      <w:r w:rsidR="008C3AAA" w:rsidRPr="00710C9B">
        <w:rPr>
          <w:rFonts w:asciiTheme="minorHAnsi" w:hAnsiTheme="minorHAnsi" w:cstheme="minorHAnsi"/>
          <w:sz w:val="22"/>
          <w:szCs w:val="22"/>
        </w:rPr>
        <w:t xml:space="preserve">che uno degli aspetti che contribuirà a dare maggiore efficacia alla diffusione del report di sostenibilità nel nostro Paese, oltre ad un allargamento dell’ambito di applicazione, ovvero del numero delle imprese soggette alla nuova CSRD, sarà l’avvio di un </w:t>
      </w:r>
      <w:r w:rsidR="008C3AAA" w:rsidRPr="00852987">
        <w:rPr>
          <w:rFonts w:asciiTheme="minorHAnsi" w:hAnsiTheme="minorHAnsi" w:cstheme="minorHAnsi"/>
          <w:b/>
          <w:sz w:val="22"/>
          <w:szCs w:val="22"/>
        </w:rPr>
        <w:t>processo di standardizzazione delle informazioni di sostenibilità a livello europeo</w:t>
      </w:r>
      <w:r w:rsidR="008C3AAA" w:rsidRPr="00710C9B">
        <w:rPr>
          <w:rFonts w:asciiTheme="minorHAnsi" w:hAnsiTheme="minorHAnsi" w:cstheme="minorHAnsi"/>
          <w:sz w:val="22"/>
          <w:szCs w:val="22"/>
        </w:rPr>
        <w:t xml:space="preserve"> che costituisce una vera e propria rivoluzione copernicana soprattutto per quelle imprese che non hanno ancora intrapreso volontariamente un percorso di orientamento in tema di sostenibilità.</w:t>
      </w:r>
      <w:r w:rsidR="004E55FF">
        <w:rPr>
          <w:rFonts w:cstheme="minorHAnsi"/>
        </w:rPr>
        <w:t>”</w:t>
      </w:r>
    </w:p>
    <w:p w:rsidR="00F042EF" w:rsidRPr="00DE4418" w:rsidRDefault="00F042EF" w:rsidP="00710C9B">
      <w:pPr>
        <w:spacing w:after="120" w:line="240" w:lineRule="auto"/>
        <w:jc w:val="both"/>
        <w:rPr>
          <w:rFonts w:ascii="Calibri" w:hAnsi="Calibri" w:cs="Calibri"/>
          <w:b/>
          <w:bCs/>
          <w:color w:val="31849B" w:themeColor="accent5" w:themeShade="BF"/>
        </w:rPr>
      </w:pPr>
      <w:r w:rsidRPr="00DE4418">
        <w:rPr>
          <w:rFonts w:ascii="Calibri" w:hAnsi="Calibri" w:cs="Calibri"/>
          <w:b/>
          <w:bCs/>
          <w:color w:val="31849B" w:themeColor="accent5" w:themeShade="BF"/>
        </w:rPr>
        <w:t>I</w:t>
      </w:r>
      <w:r w:rsidR="008D27F1" w:rsidRPr="00DE4418">
        <w:rPr>
          <w:rFonts w:ascii="Calibri" w:hAnsi="Calibri" w:cs="Calibri"/>
          <w:b/>
          <w:bCs/>
          <w:color w:val="31849B" w:themeColor="accent5" w:themeShade="BF"/>
        </w:rPr>
        <w:t xml:space="preserve"> punti di forza</w:t>
      </w:r>
    </w:p>
    <w:p w:rsidR="008D27F1" w:rsidRPr="00710C9B" w:rsidRDefault="008D27F1" w:rsidP="00710C9B">
      <w:pPr>
        <w:pStyle w:val="s18"/>
        <w:spacing w:before="0" w:beforeAutospacing="0" w:after="120" w:afterAutospacing="0"/>
        <w:jc w:val="both"/>
        <w:rPr>
          <w:rStyle w:val="s23"/>
          <w:rFonts w:asciiTheme="minorHAnsi" w:hAnsiTheme="minorHAnsi" w:cstheme="minorHAnsi"/>
          <w:color w:val="000000"/>
          <w:sz w:val="22"/>
          <w:szCs w:val="22"/>
        </w:rPr>
      </w:pPr>
      <w:r w:rsidRPr="00710C9B">
        <w:rPr>
          <w:rStyle w:val="s24"/>
          <w:rFonts w:asciiTheme="minorHAnsi" w:hAnsiTheme="minorHAnsi" w:cstheme="minorHAnsi"/>
          <w:b/>
          <w:bCs/>
          <w:color w:val="000000"/>
          <w:sz w:val="22"/>
          <w:szCs w:val="22"/>
        </w:rPr>
        <w:t>Andrea Ragazzini</w:t>
      </w:r>
      <w:r w:rsidRPr="00710C9B">
        <w:rPr>
          <w:rStyle w:val="s23"/>
          <w:rFonts w:asciiTheme="minorHAnsi" w:hAnsiTheme="minorHAnsi" w:cstheme="minorHAnsi"/>
          <w:color w:val="000000"/>
          <w:sz w:val="22"/>
          <w:szCs w:val="22"/>
        </w:rPr>
        <w:t xml:space="preserve">, </w:t>
      </w:r>
      <w:proofErr w:type="spellStart"/>
      <w:r w:rsidRPr="00710C9B">
        <w:rPr>
          <w:rStyle w:val="s23"/>
          <w:rFonts w:asciiTheme="minorHAnsi" w:hAnsiTheme="minorHAnsi" w:cstheme="minorHAnsi"/>
          <w:color w:val="000000"/>
          <w:sz w:val="22"/>
          <w:szCs w:val="22"/>
        </w:rPr>
        <w:t>Sustainability</w:t>
      </w:r>
      <w:proofErr w:type="spellEnd"/>
      <w:r w:rsidRPr="00710C9B">
        <w:rPr>
          <w:rStyle w:val="s23"/>
          <w:rFonts w:asciiTheme="minorHAnsi" w:hAnsiTheme="minorHAnsi" w:cstheme="minorHAnsi"/>
          <w:color w:val="000000"/>
          <w:sz w:val="22"/>
          <w:szCs w:val="22"/>
        </w:rPr>
        <w:t xml:space="preserve"> &amp; ESG Advisor, </w:t>
      </w:r>
      <w:proofErr w:type="spellStart"/>
      <w:r w:rsidRPr="00710C9B">
        <w:rPr>
          <w:rStyle w:val="s23"/>
          <w:rFonts w:asciiTheme="minorHAnsi" w:hAnsiTheme="minorHAnsi" w:cstheme="minorHAnsi"/>
          <w:color w:val="000000"/>
          <w:sz w:val="22"/>
          <w:szCs w:val="22"/>
        </w:rPr>
        <w:t>Founder</w:t>
      </w:r>
      <w:proofErr w:type="spellEnd"/>
      <w:r w:rsidRPr="00710C9B">
        <w:rPr>
          <w:rStyle w:val="s23"/>
          <w:rFonts w:asciiTheme="minorHAnsi" w:hAnsiTheme="minorHAnsi" w:cstheme="minorHAnsi"/>
          <w:color w:val="000000"/>
          <w:sz w:val="22"/>
          <w:szCs w:val="22"/>
        </w:rPr>
        <w:t xml:space="preserve"> Sara Cirone Group Società Benefit, ha illustrato i</w:t>
      </w:r>
      <w:r w:rsidR="001E1B6F">
        <w:rPr>
          <w:rStyle w:val="s23"/>
          <w:rFonts w:asciiTheme="minorHAnsi" w:hAnsiTheme="minorHAnsi" w:cstheme="minorHAnsi"/>
          <w:color w:val="000000"/>
          <w:sz w:val="22"/>
          <w:szCs w:val="22"/>
        </w:rPr>
        <w:t xml:space="preserve"> </w:t>
      </w:r>
      <w:r w:rsidRPr="00710C9B">
        <w:rPr>
          <w:rStyle w:val="s23"/>
          <w:rFonts w:asciiTheme="minorHAnsi" w:hAnsiTheme="minorHAnsi" w:cstheme="minorHAnsi"/>
          <w:color w:val="000000"/>
          <w:sz w:val="22"/>
          <w:szCs w:val="22"/>
        </w:rPr>
        <w:t xml:space="preserve">punti di forza di uno strumento </w:t>
      </w:r>
      <w:r w:rsidR="001E1B6F">
        <w:rPr>
          <w:rStyle w:val="s23"/>
          <w:rFonts w:asciiTheme="minorHAnsi" w:hAnsiTheme="minorHAnsi" w:cstheme="minorHAnsi"/>
          <w:color w:val="000000"/>
          <w:sz w:val="22"/>
          <w:szCs w:val="22"/>
        </w:rPr>
        <w:t xml:space="preserve">che si configura a supporto della </w:t>
      </w:r>
      <w:proofErr w:type="spellStart"/>
      <w:r w:rsidR="001E1B6F">
        <w:rPr>
          <w:rStyle w:val="s23"/>
          <w:rFonts w:asciiTheme="minorHAnsi" w:hAnsiTheme="minorHAnsi" w:cstheme="minorHAnsi"/>
          <w:color w:val="000000"/>
          <w:sz w:val="22"/>
          <w:szCs w:val="22"/>
        </w:rPr>
        <w:t>Governance</w:t>
      </w:r>
      <w:proofErr w:type="spellEnd"/>
      <w:r w:rsidR="001E1B6F">
        <w:rPr>
          <w:rStyle w:val="s23"/>
          <w:rFonts w:asciiTheme="minorHAnsi" w:hAnsiTheme="minorHAnsi" w:cstheme="minorHAnsi"/>
          <w:color w:val="000000"/>
          <w:sz w:val="22"/>
          <w:szCs w:val="22"/>
        </w:rPr>
        <w:t>.</w:t>
      </w:r>
    </w:p>
    <w:p w:rsidR="006A29BF" w:rsidRPr="00710C9B" w:rsidRDefault="006A29BF" w:rsidP="00710C9B">
      <w:pPr>
        <w:pStyle w:val="s18"/>
        <w:spacing w:before="0" w:beforeAutospacing="0" w:after="120" w:afterAutospacing="0"/>
        <w:jc w:val="both"/>
        <w:rPr>
          <w:rFonts w:asciiTheme="minorHAnsi" w:hAnsiTheme="minorHAnsi" w:cstheme="minorHAnsi"/>
          <w:color w:val="000000"/>
          <w:sz w:val="22"/>
          <w:szCs w:val="22"/>
        </w:rPr>
      </w:pPr>
      <w:r w:rsidRPr="00710C9B">
        <w:rPr>
          <w:rFonts w:asciiTheme="minorHAnsi" w:hAnsiTheme="minorHAnsi" w:cstheme="minorHAnsi"/>
          <w:color w:val="000000"/>
          <w:sz w:val="22"/>
          <w:szCs w:val="22"/>
        </w:rPr>
        <w:t xml:space="preserve">"Il Report Integrato è uno strumento utilizzato da imprese private, enti pubblici ed enti del terzo settore per </w:t>
      </w:r>
      <w:r w:rsidRPr="004F5021">
        <w:rPr>
          <w:rFonts w:asciiTheme="minorHAnsi" w:hAnsiTheme="minorHAnsi" w:cstheme="minorHAnsi"/>
          <w:b/>
          <w:color w:val="000000"/>
          <w:sz w:val="22"/>
          <w:szCs w:val="22"/>
        </w:rPr>
        <w:t>mettere in luce la propria capacità di creare impatti positivi</w:t>
      </w:r>
      <w:r w:rsidRPr="00710C9B">
        <w:rPr>
          <w:rFonts w:asciiTheme="minorHAnsi" w:hAnsiTheme="minorHAnsi" w:cstheme="minorHAnsi"/>
          <w:color w:val="000000"/>
          <w:sz w:val="22"/>
          <w:szCs w:val="22"/>
        </w:rPr>
        <w:t>, e quindi valore, per sé stessi e per i propri stakeholder. Il poter rappresentare la propria strategia, unitamente al modello di gestione e di business, nonché alle metriche utili a misurare gli impatti prodotti, porta a valorizzare l’organizzazione nel suo complesso e le persone che operano al suo interno, ad aumentare il coinvolgimento degli stakeholder, nonché a migliorare la capacità dell’organizzazione di gestire in modo efficace i rischi e di cogliere nuove opportunità. Un modello di reporting, quindi, che si traduce in una guida alla gestione integrata delle risorse dell’organizzazione."</w:t>
      </w:r>
    </w:p>
    <w:p w:rsidR="008D27F1" w:rsidRPr="00DE4418" w:rsidRDefault="008D27F1" w:rsidP="00710C9B">
      <w:pPr>
        <w:spacing w:after="120" w:line="240" w:lineRule="auto"/>
        <w:jc w:val="both"/>
        <w:rPr>
          <w:rFonts w:ascii="Calibri" w:hAnsi="Calibri" w:cs="Calibri"/>
          <w:b/>
          <w:bCs/>
          <w:color w:val="31849B" w:themeColor="accent5" w:themeShade="BF"/>
        </w:rPr>
      </w:pPr>
      <w:r w:rsidRPr="00DE4418">
        <w:rPr>
          <w:rFonts w:ascii="Calibri" w:hAnsi="Calibri" w:cs="Calibri"/>
          <w:b/>
          <w:bCs/>
          <w:color w:val="31849B" w:themeColor="accent5" w:themeShade="BF"/>
        </w:rPr>
        <w:t>Le associazioni e il report di sostenibilità</w:t>
      </w:r>
    </w:p>
    <w:p w:rsidR="008D27F1" w:rsidRPr="00710C9B" w:rsidRDefault="008D27F1" w:rsidP="00710C9B">
      <w:pPr>
        <w:spacing w:after="120" w:line="240" w:lineRule="auto"/>
        <w:jc w:val="both"/>
        <w:rPr>
          <w:rStyle w:val="s21"/>
          <w:rFonts w:cstheme="minorHAnsi"/>
          <w:color w:val="000000"/>
          <w:shd w:val="clear" w:color="auto" w:fill="FFFFFF"/>
        </w:rPr>
      </w:pPr>
      <w:r w:rsidRPr="00710C9B">
        <w:rPr>
          <w:rFonts w:ascii="Calibri" w:hAnsi="Calibri" w:cs="Calibri"/>
          <w:iCs/>
          <w:shd w:val="clear" w:color="auto" w:fill="FFFFFF"/>
        </w:rPr>
        <w:t>Dopo l’introduzione degli esperti, la parola a orga</w:t>
      </w:r>
      <w:r w:rsidRPr="00710C9B">
        <w:rPr>
          <w:rStyle w:val="s21"/>
          <w:rFonts w:cstheme="minorHAnsi"/>
          <w:color w:val="000000"/>
          <w:shd w:val="clear" w:color="auto" w:fill="FFFFFF"/>
        </w:rPr>
        <w:t>nizzazioni e imprese che si stanno già dotando di strumenti di rendicontazione di sostenibilità, anche se non tenute a farlo a norma di legge.</w:t>
      </w:r>
    </w:p>
    <w:p w:rsidR="008D27F1" w:rsidRPr="00710C9B" w:rsidRDefault="008D27F1" w:rsidP="00710C9B">
      <w:pPr>
        <w:pStyle w:val="s18"/>
        <w:spacing w:before="0" w:beforeAutospacing="0" w:after="120" w:afterAutospacing="0"/>
        <w:jc w:val="both"/>
        <w:rPr>
          <w:rStyle w:val="s23"/>
          <w:rFonts w:asciiTheme="minorHAnsi" w:hAnsiTheme="minorHAnsi" w:cstheme="minorHAnsi"/>
          <w:color w:val="000000"/>
          <w:sz w:val="22"/>
          <w:szCs w:val="22"/>
        </w:rPr>
      </w:pPr>
      <w:r w:rsidRPr="00710C9B">
        <w:rPr>
          <w:rStyle w:val="s24"/>
          <w:rFonts w:asciiTheme="minorHAnsi" w:hAnsiTheme="minorHAnsi" w:cstheme="minorHAnsi"/>
          <w:b/>
          <w:bCs/>
          <w:color w:val="000000"/>
          <w:sz w:val="22"/>
          <w:szCs w:val="22"/>
        </w:rPr>
        <w:t>Andrea Molza,</w:t>
      </w:r>
      <w:r w:rsidRPr="00710C9B">
        <w:rPr>
          <w:rStyle w:val="s23"/>
          <w:rFonts w:asciiTheme="minorHAnsi" w:hAnsiTheme="minorHAnsi" w:cstheme="minorHAnsi"/>
          <w:color w:val="000000"/>
          <w:sz w:val="22"/>
          <w:szCs w:val="22"/>
        </w:rPr>
        <w:t xml:space="preserve"> Vice Presidente Vicario </w:t>
      </w:r>
      <w:proofErr w:type="spellStart"/>
      <w:r w:rsidRPr="00710C9B">
        <w:rPr>
          <w:rStyle w:val="s23"/>
          <w:rFonts w:asciiTheme="minorHAnsi" w:hAnsiTheme="minorHAnsi" w:cstheme="minorHAnsi"/>
          <w:color w:val="000000"/>
          <w:sz w:val="22"/>
          <w:szCs w:val="22"/>
        </w:rPr>
        <w:t>Federmanager</w:t>
      </w:r>
      <w:proofErr w:type="spellEnd"/>
      <w:r w:rsidRPr="00710C9B">
        <w:rPr>
          <w:rStyle w:val="s23"/>
          <w:rFonts w:asciiTheme="minorHAnsi" w:hAnsiTheme="minorHAnsi" w:cstheme="minorHAnsi"/>
          <w:color w:val="000000"/>
          <w:sz w:val="22"/>
          <w:szCs w:val="22"/>
        </w:rPr>
        <w:t xml:space="preserve"> Bologna – Ferrara – Ravenna </w:t>
      </w:r>
      <w:r w:rsidR="00FB2D0E" w:rsidRPr="00710C9B">
        <w:rPr>
          <w:rStyle w:val="s23"/>
          <w:rFonts w:asciiTheme="minorHAnsi" w:hAnsiTheme="minorHAnsi" w:cstheme="minorHAnsi"/>
          <w:color w:val="000000"/>
          <w:sz w:val="22"/>
          <w:szCs w:val="22"/>
        </w:rPr>
        <w:t xml:space="preserve">e Presidente uscente dell’associazione dei manager, </w:t>
      </w:r>
      <w:r w:rsidRPr="00710C9B">
        <w:rPr>
          <w:rStyle w:val="s23"/>
          <w:rFonts w:asciiTheme="minorHAnsi" w:hAnsiTheme="minorHAnsi" w:cstheme="minorHAnsi"/>
          <w:color w:val="000000"/>
          <w:sz w:val="22"/>
          <w:szCs w:val="22"/>
        </w:rPr>
        <w:t>ha parlato dell’esperienza del Report Integrato di un Ente sindacale: l’associazione si è infatti dotata</w:t>
      </w:r>
      <w:r w:rsidR="004F5021" w:rsidRPr="004F5021">
        <w:rPr>
          <w:rStyle w:val="s23"/>
          <w:rFonts w:asciiTheme="minorHAnsi" w:hAnsiTheme="minorHAnsi" w:cstheme="minorHAnsi"/>
          <w:color w:val="000000"/>
          <w:sz w:val="22"/>
          <w:szCs w:val="22"/>
        </w:rPr>
        <w:t xml:space="preserve"> </w:t>
      </w:r>
      <w:r w:rsidR="004F5021" w:rsidRPr="00710C9B">
        <w:rPr>
          <w:rStyle w:val="s23"/>
          <w:rFonts w:asciiTheme="minorHAnsi" w:hAnsiTheme="minorHAnsi" w:cstheme="minorHAnsi"/>
          <w:color w:val="000000"/>
          <w:sz w:val="22"/>
          <w:szCs w:val="22"/>
        </w:rPr>
        <w:t>di questo strumento</w:t>
      </w:r>
      <w:r w:rsidRPr="00710C9B">
        <w:rPr>
          <w:rStyle w:val="s23"/>
          <w:rFonts w:asciiTheme="minorHAnsi" w:hAnsiTheme="minorHAnsi" w:cstheme="minorHAnsi"/>
          <w:color w:val="000000"/>
          <w:sz w:val="22"/>
          <w:szCs w:val="22"/>
        </w:rPr>
        <w:t>, tra le prime, con riferimento all’anno 2022.</w:t>
      </w:r>
    </w:p>
    <w:p w:rsidR="00FB2D0E" w:rsidRPr="00710C9B" w:rsidRDefault="00FB2D0E" w:rsidP="00710C9B">
      <w:pPr>
        <w:pStyle w:val="s18"/>
        <w:spacing w:before="0" w:beforeAutospacing="0" w:after="120" w:afterAutospacing="0"/>
        <w:jc w:val="both"/>
        <w:rPr>
          <w:rFonts w:asciiTheme="minorHAnsi" w:hAnsiTheme="minorHAnsi" w:cstheme="minorHAnsi"/>
          <w:color w:val="000000"/>
          <w:sz w:val="22"/>
          <w:szCs w:val="22"/>
        </w:rPr>
      </w:pPr>
      <w:r w:rsidRPr="00710C9B">
        <w:rPr>
          <w:rFonts w:asciiTheme="minorHAnsi" w:hAnsiTheme="minorHAnsi" w:cstheme="minorHAnsi"/>
          <w:color w:val="000000"/>
          <w:sz w:val="22"/>
          <w:szCs w:val="22"/>
        </w:rPr>
        <w:t>“Do con molto piacere il mio contributo su un argomento di cui si s</w:t>
      </w:r>
      <w:r w:rsidR="006A29BF" w:rsidRPr="00710C9B">
        <w:rPr>
          <w:rFonts w:asciiTheme="minorHAnsi" w:hAnsiTheme="minorHAnsi" w:cstheme="minorHAnsi"/>
          <w:color w:val="000000"/>
          <w:sz w:val="22"/>
          <w:szCs w:val="22"/>
        </w:rPr>
        <w:t xml:space="preserve">ta già parlando molto e di cui </w:t>
      </w:r>
      <w:r w:rsidRPr="00710C9B">
        <w:rPr>
          <w:rFonts w:asciiTheme="minorHAnsi" w:hAnsiTheme="minorHAnsi" w:cstheme="minorHAnsi"/>
          <w:color w:val="000000"/>
          <w:sz w:val="22"/>
          <w:szCs w:val="22"/>
        </w:rPr>
        <w:t xml:space="preserve">si parlerà ancora a lungo. Sostenibilità come obiettivo e cornice organizzativa di una attività che non può più vedere il risultato economico (spesso di breve) come il fine unico. L’analisi oggettiva della realtà organizzativa fatta di processi, procedure e persone, la sua adeguatezza al contesto è a mio avviso l’altro elemento centrale. Con questo spirito a fine del mio lungo mandato ho voluto far verificare il dove eravamo con l’obiettivo di evidenziare le aree di miglioramento e le potenziali prospettive, questo per far capire, a chi mi avrebbe sostituito e prima di iniziare, le priorità. Il risultato è stato apprezzato nella sua veridicità e l’insegnamento da trarre è che </w:t>
      </w:r>
      <w:r w:rsidRPr="00710C9B">
        <w:rPr>
          <w:rFonts w:asciiTheme="minorHAnsi" w:hAnsiTheme="minorHAnsi" w:cstheme="minorHAnsi"/>
          <w:b/>
          <w:color w:val="000000"/>
          <w:sz w:val="22"/>
          <w:szCs w:val="22"/>
        </w:rPr>
        <w:t>le persone che lavorano con noi e quelle a cui porgiamo il nostro supporto richiedono attenzione e dedizione costante</w:t>
      </w:r>
      <w:r w:rsidRPr="00710C9B">
        <w:rPr>
          <w:rFonts w:asciiTheme="minorHAnsi" w:hAnsiTheme="minorHAnsi" w:cstheme="minorHAnsi"/>
          <w:color w:val="000000"/>
          <w:sz w:val="22"/>
          <w:szCs w:val="22"/>
        </w:rPr>
        <w:t>”.</w:t>
      </w:r>
    </w:p>
    <w:p w:rsidR="008D27F1" w:rsidRPr="00DE4418" w:rsidRDefault="008D27F1" w:rsidP="00710C9B">
      <w:pPr>
        <w:pStyle w:val="s18"/>
        <w:spacing w:before="0" w:beforeAutospacing="0" w:after="120" w:afterAutospacing="0"/>
        <w:jc w:val="both"/>
        <w:rPr>
          <w:rStyle w:val="s24"/>
          <w:rFonts w:asciiTheme="minorHAnsi" w:hAnsiTheme="minorHAnsi" w:cstheme="minorHAnsi"/>
          <w:b/>
          <w:bCs/>
          <w:color w:val="31849B" w:themeColor="accent5" w:themeShade="BF"/>
          <w:sz w:val="22"/>
          <w:szCs w:val="22"/>
        </w:rPr>
      </w:pPr>
      <w:r w:rsidRPr="00DE4418">
        <w:rPr>
          <w:rStyle w:val="s24"/>
          <w:rFonts w:asciiTheme="minorHAnsi" w:hAnsiTheme="minorHAnsi" w:cstheme="minorHAnsi"/>
          <w:b/>
          <w:bCs/>
          <w:color w:val="31849B" w:themeColor="accent5" w:themeShade="BF"/>
          <w:sz w:val="22"/>
          <w:szCs w:val="22"/>
        </w:rPr>
        <w:t>Buone pratiche aziendali e Società Benefit</w:t>
      </w:r>
    </w:p>
    <w:p w:rsidR="008D27F1" w:rsidRDefault="008D27F1" w:rsidP="0020025E">
      <w:pPr>
        <w:pStyle w:val="s18"/>
        <w:spacing w:before="0" w:beforeAutospacing="0" w:after="120" w:afterAutospacing="0"/>
        <w:jc w:val="both"/>
        <w:rPr>
          <w:rStyle w:val="s23"/>
          <w:rFonts w:asciiTheme="minorHAnsi" w:hAnsiTheme="minorHAnsi" w:cstheme="minorHAnsi"/>
          <w:color w:val="000000"/>
          <w:sz w:val="22"/>
          <w:szCs w:val="22"/>
        </w:rPr>
      </w:pPr>
      <w:r w:rsidRPr="00710C9B">
        <w:rPr>
          <w:rStyle w:val="s24"/>
          <w:rFonts w:asciiTheme="minorHAnsi" w:hAnsiTheme="minorHAnsi" w:cstheme="minorHAnsi"/>
          <w:b/>
          <w:bCs/>
          <w:color w:val="000000"/>
          <w:sz w:val="22"/>
          <w:szCs w:val="22"/>
        </w:rPr>
        <w:t>Isabella Cristina</w:t>
      </w:r>
      <w:r w:rsidRPr="00710C9B">
        <w:rPr>
          <w:rStyle w:val="s23"/>
          <w:rFonts w:asciiTheme="minorHAnsi" w:hAnsiTheme="minorHAnsi" w:cstheme="minorHAnsi"/>
          <w:color w:val="000000"/>
          <w:sz w:val="22"/>
          <w:szCs w:val="22"/>
        </w:rPr>
        <w:t xml:space="preserve">, Fondazione Capellino, è intervenuta su “La relazione d'impatto di Almo Nature S.p.A. Società Benefit”. Fondazione Capellino è un ente commerciale senza scopo di lucro che ha come finalità la </w:t>
      </w:r>
      <w:r w:rsidRPr="00710C9B">
        <w:rPr>
          <w:rStyle w:val="s23"/>
          <w:rFonts w:asciiTheme="minorHAnsi" w:hAnsiTheme="minorHAnsi" w:cstheme="minorHAnsi"/>
          <w:color w:val="000000"/>
          <w:sz w:val="22"/>
          <w:szCs w:val="22"/>
        </w:rPr>
        <w:lastRenderedPageBreak/>
        <w:t>salvaguardia della biosfera e in particolare della biodiversità. Si finanzia con il 100% dei ricavi – dedotti costi e tasse – maturati da Almo Nature, azienda di alimenti per cani e gatti, interamente di sua proprietà.</w:t>
      </w:r>
    </w:p>
    <w:p w:rsidR="0020025E" w:rsidRPr="0020025E" w:rsidRDefault="0020025E" w:rsidP="0020025E">
      <w:pPr>
        <w:pStyle w:val="s18"/>
        <w:spacing w:before="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20025E">
        <w:rPr>
          <w:rFonts w:asciiTheme="minorHAnsi" w:hAnsiTheme="minorHAnsi" w:cstheme="minorHAnsi"/>
          <w:color w:val="000000"/>
          <w:sz w:val="22"/>
          <w:szCs w:val="22"/>
        </w:rPr>
        <w:t>La nuova Direttiva europea CSRD sulla rendicontazione di sostenibilità si intreccia in modo particolarmente interessante con la normativa italiana dedicata alle Società Benefit.</w:t>
      </w:r>
      <w:r>
        <w:rPr>
          <w:rFonts w:asciiTheme="minorHAnsi" w:hAnsiTheme="minorHAnsi" w:cstheme="minorHAnsi"/>
          <w:color w:val="000000"/>
          <w:sz w:val="22"/>
          <w:szCs w:val="22"/>
        </w:rPr>
        <w:t xml:space="preserve"> </w:t>
      </w:r>
      <w:r w:rsidRPr="0020025E">
        <w:rPr>
          <w:rFonts w:asciiTheme="minorHAnsi" w:hAnsiTheme="minorHAnsi" w:cstheme="minorHAnsi"/>
          <w:color w:val="000000"/>
          <w:sz w:val="22"/>
          <w:szCs w:val="22"/>
        </w:rPr>
        <w:t xml:space="preserve">Questo tipo di impresa che, ricordiamo, prende un impegno formale sancito nello Statuto per la creazione di un </w:t>
      </w:r>
      <w:r>
        <w:rPr>
          <w:rFonts w:asciiTheme="minorHAnsi" w:hAnsiTheme="minorHAnsi" w:cstheme="minorHAnsi"/>
          <w:color w:val="000000"/>
          <w:sz w:val="22"/>
          <w:szCs w:val="22"/>
        </w:rPr>
        <w:t xml:space="preserve">beneficio comune, infatti </w:t>
      </w:r>
      <w:r w:rsidRPr="0020025E">
        <w:rPr>
          <w:rFonts w:asciiTheme="minorHAnsi" w:hAnsiTheme="minorHAnsi" w:cstheme="minorHAnsi"/>
          <w:color w:val="000000"/>
          <w:sz w:val="22"/>
          <w:szCs w:val="22"/>
        </w:rPr>
        <w:t>è già obbligata per legge a produrre una relazione annuale sul proprio impatto di sostenibilità.</w:t>
      </w:r>
      <w:r>
        <w:rPr>
          <w:rFonts w:asciiTheme="minorHAnsi" w:hAnsiTheme="minorHAnsi" w:cstheme="minorHAnsi"/>
          <w:color w:val="000000"/>
          <w:sz w:val="22"/>
          <w:szCs w:val="22"/>
        </w:rPr>
        <w:t>”</w:t>
      </w:r>
    </w:p>
    <w:p w:rsidR="0020025E" w:rsidRPr="00710C9B" w:rsidRDefault="0020025E" w:rsidP="0020025E">
      <w:pPr>
        <w:pStyle w:val="s18"/>
        <w:spacing w:before="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20025E">
        <w:rPr>
          <w:rFonts w:asciiTheme="minorHAnsi" w:hAnsiTheme="minorHAnsi" w:cstheme="minorHAnsi"/>
          <w:color w:val="000000"/>
          <w:sz w:val="22"/>
          <w:szCs w:val="22"/>
        </w:rPr>
        <w:t>La sfida oggi, per tutte le Società Benefit coinvolte nel perimetro della CSRD, è quella di integrare le due richieste, quella europea e quella na</w:t>
      </w:r>
      <w:r>
        <w:rPr>
          <w:rFonts w:asciiTheme="minorHAnsi" w:hAnsiTheme="minorHAnsi" w:cstheme="minorHAnsi"/>
          <w:color w:val="000000"/>
          <w:sz w:val="22"/>
          <w:szCs w:val="22"/>
        </w:rPr>
        <w:t xml:space="preserve">zionale, in un unico documento </w:t>
      </w:r>
      <w:r w:rsidRPr="0020025E">
        <w:rPr>
          <w:rFonts w:asciiTheme="minorHAnsi" w:hAnsiTheme="minorHAnsi" w:cstheme="minorHAnsi"/>
          <w:color w:val="000000"/>
          <w:sz w:val="22"/>
          <w:szCs w:val="22"/>
        </w:rPr>
        <w:t xml:space="preserve">“a doppia </w:t>
      </w:r>
      <w:proofErr w:type="spellStart"/>
      <w:r w:rsidRPr="0020025E">
        <w:rPr>
          <w:rFonts w:asciiTheme="minorHAnsi" w:hAnsiTheme="minorHAnsi" w:cstheme="minorHAnsi"/>
          <w:color w:val="000000"/>
          <w:sz w:val="22"/>
          <w:szCs w:val="22"/>
        </w:rPr>
        <w:t>compliance</w:t>
      </w:r>
      <w:proofErr w:type="spellEnd"/>
      <w:r w:rsidRPr="0020025E">
        <w:rPr>
          <w:rFonts w:asciiTheme="minorHAnsi" w:hAnsiTheme="minorHAnsi" w:cstheme="minorHAnsi"/>
          <w:color w:val="000000"/>
          <w:sz w:val="22"/>
          <w:szCs w:val="22"/>
        </w:rPr>
        <w:t>”, capace di rappresentare in modo completo e trasparente la capacità dell’impresa di creare valore per tutti gli stakeholder nel breve, medio e lungo periodo.</w:t>
      </w:r>
      <w:r>
        <w:rPr>
          <w:rFonts w:asciiTheme="minorHAnsi" w:hAnsiTheme="minorHAnsi" w:cstheme="minorHAnsi"/>
          <w:color w:val="000000"/>
          <w:sz w:val="22"/>
          <w:szCs w:val="22"/>
        </w:rPr>
        <w:t>”</w:t>
      </w:r>
    </w:p>
    <w:p w:rsidR="008D27F1" w:rsidRPr="00DE4418" w:rsidRDefault="008D27F1" w:rsidP="00710C9B">
      <w:pPr>
        <w:pStyle w:val="s18"/>
        <w:spacing w:before="0" w:beforeAutospacing="0" w:after="120" w:afterAutospacing="0"/>
        <w:jc w:val="both"/>
        <w:rPr>
          <w:rStyle w:val="s24"/>
          <w:rFonts w:asciiTheme="minorHAnsi" w:hAnsiTheme="minorHAnsi" w:cstheme="minorHAnsi"/>
          <w:b/>
          <w:bCs/>
          <w:color w:val="31849B" w:themeColor="accent5" w:themeShade="BF"/>
          <w:sz w:val="22"/>
          <w:szCs w:val="22"/>
        </w:rPr>
      </w:pPr>
      <w:r w:rsidRPr="00DE4418">
        <w:rPr>
          <w:rStyle w:val="s24"/>
          <w:rFonts w:asciiTheme="minorHAnsi" w:hAnsiTheme="minorHAnsi" w:cstheme="minorHAnsi"/>
          <w:b/>
          <w:bCs/>
          <w:color w:val="31849B" w:themeColor="accent5" w:themeShade="BF"/>
          <w:sz w:val="22"/>
          <w:szCs w:val="22"/>
        </w:rPr>
        <w:t>Dal Bilancio Sociale all’informativa unica per esprimere la capacità di creare valore</w:t>
      </w:r>
    </w:p>
    <w:p w:rsidR="008D27F1" w:rsidRPr="00710C9B" w:rsidRDefault="008D27F1" w:rsidP="00710C9B">
      <w:pPr>
        <w:pStyle w:val="s18"/>
        <w:spacing w:before="0" w:beforeAutospacing="0" w:after="120" w:afterAutospacing="0"/>
        <w:jc w:val="both"/>
        <w:rPr>
          <w:rStyle w:val="s23"/>
          <w:rFonts w:asciiTheme="minorHAnsi" w:hAnsiTheme="minorHAnsi" w:cstheme="minorHAnsi"/>
          <w:color w:val="000000"/>
          <w:sz w:val="22"/>
          <w:szCs w:val="22"/>
        </w:rPr>
      </w:pPr>
      <w:r w:rsidRPr="00710C9B">
        <w:rPr>
          <w:rStyle w:val="s24"/>
          <w:rFonts w:asciiTheme="minorHAnsi" w:hAnsiTheme="minorHAnsi" w:cstheme="minorHAnsi"/>
          <w:b/>
          <w:bCs/>
          <w:color w:val="000000"/>
          <w:sz w:val="22"/>
          <w:szCs w:val="22"/>
        </w:rPr>
        <w:t xml:space="preserve">Daniele </w:t>
      </w:r>
      <w:proofErr w:type="spellStart"/>
      <w:r w:rsidRPr="00710C9B">
        <w:rPr>
          <w:rStyle w:val="s24"/>
          <w:rFonts w:asciiTheme="minorHAnsi" w:hAnsiTheme="minorHAnsi" w:cstheme="minorHAnsi"/>
          <w:b/>
          <w:bCs/>
          <w:color w:val="000000"/>
          <w:sz w:val="22"/>
          <w:szCs w:val="22"/>
        </w:rPr>
        <w:t>Damele</w:t>
      </w:r>
      <w:proofErr w:type="spellEnd"/>
      <w:r w:rsidRPr="00710C9B">
        <w:rPr>
          <w:rStyle w:val="s24"/>
          <w:rFonts w:asciiTheme="minorHAnsi" w:hAnsiTheme="minorHAnsi" w:cstheme="minorHAnsi"/>
          <w:b/>
          <w:bCs/>
          <w:color w:val="000000"/>
          <w:sz w:val="22"/>
          <w:szCs w:val="22"/>
        </w:rPr>
        <w:t xml:space="preserve">, </w:t>
      </w:r>
      <w:r w:rsidRPr="00710C9B">
        <w:rPr>
          <w:rStyle w:val="s23"/>
          <w:rFonts w:asciiTheme="minorHAnsi" w:hAnsiTheme="minorHAnsi" w:cstheme="minorHAnsi"/>
          <w:color w:val="000000"/>
          <w:sz w:val="22"/>
          <w:szCs w:val="22"/>
        </w:rPr>
        <w:t xml:space="preserve">Presidente FASI, ha portato l’esperienza del fondo di assistenza sanitaria integrativa a gestione paritetica tra Confindustria e </w:t>
      </w:r>
      <w:proofErr w:type="spellStart"/>
      <w:r w:rsidRPr="00710C9B">
        <w:rPr>
          <w:rStyle w:val="s23"/>
          <w:rFonts w:asciiTheme="minorHAnsi" w:hAnsiTheme="minorHAnsi" w:cstheme="minorHAnsi"/>
          <w:color w:val="000000"/>
          <w:sz w:val="22"/>
          <w:szCs w:val="22"/>
        </w:rPr>
        <w:t>Federmanager</w:t>
      </w:r>
      <w:proofErr w:type="spellEnd"/>
      <w:r w:rsidRPr="00710C9B">
        <w:rPr>
          <w:rStyle w:val="s23"/>
          <w:rFonts w:asciiTheme="minorHAnsi" w:hAnsiTheme="minorHAnsi" w:cstheme="minorHAnsi"/>
          <w:color w:val="000000"/>
          <w:sz w:val="22"/>
          <w:szCs w:val="22"/>
        </w:rPr>
        <w:t xml:space="preserve"> per un futuro sostenibile.</w:t>
      </w:r>
    </w:p>
    <w:p w:rsidR="00E2605A" w:rsidRPr="00710C9B" w:rsidRDefault="00E2605A" w:rsidP="00710C9B">
      <w:pPr>
        <w:pStyle w:val="s18"/>
        <w:spacing w:before="0" w:beforeAutospacing="0" w:after="120" w:afterAutospacing="0"/>
        <w:jc w:val="both"/>
        <w:rPr>
          <w:rFonts w:asciiTheme="minorHAnsi" w:hAnsiTheme="minorHAnsi" w:cstheme="minorHAnsi"/>
          <w:sz w:val="22"/>
          <w:szCs w:val="22"/>
        </w:rPr>
      </w:pPr>
      <w:r w:rsidRPr="00710C9B">
        <w:rPr>
          <w:rFonts w:asciiTheme="minorHAnsi" w:hAnsiTheme="minorHAnsi" w:cstheme="minorHAnsi"/>
          <w:sz w:val="22"/>
          <w:szCs w:val="22"/>
        </w:rPr>
        <w:t>“Il Fasi si è avvicinato per la prima volta ai temi della sostenibilità nel 2012, attraverso la pubblicazione del primo Bilancio Sociale del Fondo</w:t>
      </w:r>
      <w:r w:rsidR="000D2F6C">
        <w:rPr>
          <w:rFonts w:asciiTheme="minorHAnsi" w:hAnsiTheme="minorHAnsi" w:cstheme="minorHAnsi"/>
          <w:sz w:val="22"/>
          <w:szCs w:val="22"/>
        </w:rPr>
        <w:t>.</w:t>
      </w:r>
      <w:r w:rsidRPr="00710C9B">
        <w:rPr>
          <w:rFonts w:asciiTheme="minorHAnsi" w:hAnsiTheme="minorHAnsi" w:cstheme="minorHAnsi"/>
          <w:sz w:val="22"/>
          <w:szCs w:val="22"/>
        </w:rPr>
        <w:t xml:space="preserve"> Da allora il Fasi ha pubblicato annualmente il Bilancio Sociale, senza soluzione di continuità, arrivando poi nel 2020 a proporre un’Informativa unica al cui interno sono presenti le informazioni economico gestionali, finanziarie e non finanziarie, volta a raffigurare appieno il valore della tutela Fasi. L’ambizioso obiettivo è stato perseguito allo scopo di </w:t>
      </w:r>
      <w:r w:rsidRPr="004F5021">
        <w:rPr>
          <w:rFonts w:asciiTheme="minorHAnsi" w:hAnsiTheme="minorHAnsi" w:cstheme="minorHAnsi"/>
          <w:b/>
          <w:sz w:val="22"/>
          <w:szCs w:val="22"/>
        </w:rPr>
        <w:t>rappresentare l’insieme dei fattori che determinano la capacità del Fondo di creare valore</w:t>
      </w:r>
      <w:r w:rsidRPr="00710C9B">
        <w:rPr>
          <w:rFonts w:asciiTheme="minorHAnsi" w:hAnsiTheme="minorHAnsi" w:cstheme="minorHAnsi"/>
          <w:sz w:val="22"/>
          <w:szCs w:val="22"/>
        </w:rPr>
        <w:t>, come risultato dell’impegno profuso dall’organizzazione per individuare soluzioni che rispondano ai bisogni degli stakeholder, primo fra tutti la garanzia di sostenibilità attuariale del Fondo nel medio lungo periodo.”</w:t>
      </w:r>
    </w:p>
    <w:p w:rsidR="008D27F1" w:rsidRPr="00DE4418" w:rsidRDefault="008D27F1" w:rsidP="00710C9B">
      <w:pPr>
        <w:pStyle w:val="s18"/>
        <w:spacing w:before="0" w:beforeAutospacing="0" w:after="120" w:afterAutospacing="0"/>
        <w:jc w:val="both"/>
        <w:rPr>
          <w:rStyle w:val="s23"/>
          <w:rFonts w:asciiTheme="minorHAnsi" w:hAnsiTheme="minorHAnsi" w:cstheme="minorHAnsi"/>
          <w:b/>
          <w:color w:val="31849B" w:themeColor="accent5" w:themeShade="BF"/>
          <w:sz w:val="22"/>
          <w:szCs w:val="22"/>
        </w:rPr>
      </w:pPr>
      <w:r w:rsidRPr="00DE4418">
        <w:rPr>
          <w:rStyle w:val="s23"/>
          <w:rFonts w:asciiTheme="minorHAnsi" w:hAnsiTheme="minorHAnsi" w:cstheme="minorHAnsi"/>
          <w:b/>
          <w:color w:val="31849B" w:themeColor="accent5" w:themeShade="BF"/>
          <w:sz w:val="22"/>
          <w:szCs w:val="22"/>
        </w:rPr>
        <w:t>Comune di Bologna, il report integrato è ormai pratica consolidata</w:t>
      </w:r>
    </w:p>
    <w:p w:rsidR="008D27F1" w:rsidRPr="00710C9B" w:rsidRDefault="008D27F1" w:rsidP="00710C9B">
      <w:pPr>
        <w:pStyle w:val="s18"/>
        <w:spacing w:before="0" w:beforeAutospacing="0" w:after="120" w:afterAutospacing="0"/>
        <w:jc w:val="both"/>
        <w:rPr>
          <w:rStyle w:val="s23"/>
          <w:rFonts w:asciiTheme="minorHAnsi" w:hAnsiTheme="minorHAnsi" w:cstheme="minorHAnsi"/>
          <w:color w:val="000000"/>
          <w:sz w:val="22"/>
          <w:szCs w:val="22"/>
        </w:rPr>
      </w:pPr>
      <w:r w:rsidRPr="00710C9B">
        <w:rPr>
          <w:rStyle w:val="s23"/>
          <w:rFonts w:asciiTheme="minorHAnsi" w:hAnsiTheme="minorHAnsi" w:cstheme="minorHAnsi"/>
          <w:color w:val="000000"/>
          <w:sz w:val="22"/>
          <w:szCs w:val="22"/>
        </w:rPr>
        <w:t xml:space="preserve">Ha chiuso la giornata di approfondimento l’intervento di </w:t>
      </w:r>
      <w:r w:rsidRPr="00710C9B">
        <w:rPr>
          <w:rStyle w:val="s24"/>
          <w:rFonts w:asciiTheme="minorHAnsi" w:hAnsiTheme="minorHAnsi" w:cstheme="minorHAnsi"/>
          <w:b/>
          <w:bCs/>
          <w:color w:val="000000"/>
          <w:sz w:val="22"/>
          <w:szCs w:val="22"/>
        </w:rPr>
        <w:t xml:space="preserve">Mariagrazia </w:t>
      </w:r>
      <w:proofErr w:type="spellStart"/>
      <w:r w:rsidRPr="00710C9B">
        <w:rPr>
          <w:rStyle w:val="s24"/>
          <w:rFonts w:asciiTheme="minorHAnsi" w:hAnsiTheme="minorHAnsi" w:cstheme="minorHAnsi"/>
          <w:b/>
          <w:bCs/>
          <w:color w:val="000000"/>
          <w:sz w:val="22"/>
          <w:szCs w:val="22"/>
        </w:rPr>
        <w:t>Bonzagni</w:t>
      </w:r>
      <w:proofErr w:type="spellEnd"/>
      <w:r w:rsidRPr="00710C9B">
        <w:rPr>
          <w:rStyle w:val="s23"/>
          <w:rFonts w:asciiTheme="minorHAnsi" w:hAnsiTheme="minorHAnsi" w:cstheme="minorHAnsi"/>
          <w:color w:val="000000"/>
          <w:sz w:val="22"/>
          <w:szCs w:val="22"/>
        </w:rPr>
        <w:t xml:space="preserve">, Direttrice Area Programmazione e Statistica presso il Comune di Bologna, </w:t>
      </w:r>
      <w:r w:rsidR="00A55D73">
        <w:rPr>
          <w:rStyle w:val="s23"/>
          <w:rFonts w:asciiTheme="minorHAnsi" w:hAnsiTheme="minorHAnsi" w:cstheme="minorHAnsi"/>
          <w:color w:val="000000"/>
          <w:sz w:val="22"/>
          <w:szCs w:val="22"/>
        </w:rPr>
        <w:t xml:space="preserve">amministrazione </w:t>
      </w:r>
      <w:r w:rsidRPr="00710C9B">
        <w:rPr>
          <w:rStyle w:val="s23"/>
          <w:rFonts w:asciiTheme="minorHAnsi" w:hAnsiTheme="minorHAnsi" w:cstheme="minorHAnsi"/>
          <w:color w:val="000000"/>
          <w:sz w:val="22"/>
          <w:szCs w:val="22"/>
        </w:rPr>
        <w:t xml:space="preserve">che ha </w:t>
      </w:r>
      <w:r w:rsidR="00845B5A" w:rsidRPr="00710C9B">
        <w:rPr>
          <w:rStyle w:val="s23"/>
          <w:rFonts w:asciiTheme="minorHAnsi" w:hAnsiTheme="minorHAnsi" w:cstheme="minorHAnsi"/>
          <w:color w:val="000000"/>
          <w:sz w:val="22"/>
          <w:szCs w:val="22"/>
        </w:rPr>
        <w:t>da poco pubblicato il suo terzo report</w:t>
      </w:r>
      <w:r w:rsidR="00A55D73">
        <w:rPr>
          <w:rStyle w:val="s23"/>
          <w:rFonts w:asciiTheme="minorHAnsi" w:hAnsiTheme="minorHAnsi" w:cstheme="minorHAnsi"/>
          <w:color w:val="000000"/>
          <w:sz w:val="22"/>
          <w:szCs w:val="22"/>
        </w:rPr>
        <w:t>.</w:t>
      </w:r>
    </w:p>
    <w:p w:rsidR="00D20566" w:rsidRPr="004F5021" w:rsidRDefault="00D20566" w:rsidP="00710C9B">
      <w:pPr>
        <w:pStyle w:val="s18"/>
        <w:spacing w:before="0" w:beforeAutospacing="0" w:after="120" w:afterAutospacing="0"/>
        <w:jc w:val="both"/>
        <w:rPr>
          <w:rFonts w:asciiTheme="minorHAnsi" w:hAnsiTheme="minorHAnsi" w:cstheme="minorHAnsi"/>
          <w:b/>
          <w:color w:val="000000"/>
          <w:sz w:val="22"/>
          <w:szCs w:val="22"/>
        </w:rPr>
      </w:pPr>
      <w:r w:rsidRPr="00710C9B">
        <w:rPr>
          <w:rFonts w:asciiTheme="minorHAnsi" w:hAnsiTheme="minorHAnsi" w:cstheme="minorHAnsi"/>
          <w:color w:val="000000"/>
          <w:sz w:val="22"/>
          <w:szCs w:val="22"/>
        </w:rPr>
        <w:t>“Il Comune è l’ente pubblico di prossimità che ha la finalità di garantire sviluppo e benessere alla propria comunità. L'</w:t>
      </w:r>
      <w:proofErr w:type="spellStart"/>
      <w:r w:rsidRPr="00710C9B">
        <w:rPr>
          <w:rFonts w:asciiTheme="minorHAnsi" w:hAnsiTheme="minorHAnsi" w:cstheme="minorHAnsi"/>
          <w:color w:val="000000"/>
          <w:sz w:val="22"/>
          <w:szCs w:val="22"/>
        </w:rPr>
        <w:t>Accountability</w:t>
      </w:r>
      <w:proofErr w:type="spellEnd"/>
      <w:r w:rsidRPr="00710C9B">
        <w:rPr>
          <w:rFonts w:asciiTheme="minorHAnsi" w:hAnsiTheme="minorHAnsi" w:cstheme="minorHAnsi"/>
          <w:color w:val="000000"/>
          <w:sz w:val="22"/>
          <w:szCs w:val="22"/>
        </w:rPr>
        <w:t xml:space="preserve"> nei confronti dei principali stakeholder è, quindi, molto più rilevante che per qualunque altra organizzazione. Eppure i comuni non hanno l’obbligo di rendicontazione non finanziaria o di redigere un bilancio di sostenibilità: gli strumenti previsti dalla legge per “render conto” hanno carattere formale, sono totalmente incoerenti rispetto alla missione degli enti e privi di capacità comunicativa</w:t>
      </w:r>
      <w:r w:rsidRPr="004F5021">
        <w:rPr>
          <w:rFonts w:asciiTheme="minorHAnsi" w:hAnsiTheme="minorHAnsi" w:cstheme="minorHAnsi"/>
          <w:b/>
          <w:color w:val="000000"/>
          <w:sz w:val="22"/>
          <w:szCs w:val="22"/>
        </w:rPr>
        <w:t>. Il Report Integrato, fin dalla prima edizione del 2020, è stato per noi lo strumento per raccontare come, attraverso i nostri Capitali, in particolare quel Capitale Umano</w:t>
      </w:r>
      <w:r w:rsidRPr="00710C9B">
        <w:rPr>
          <w:rFonts w:asciiTheme="minorHAnsi" w:hAnsiTheme="minorHAnsi" w:cstheme="minorHAnsi"/>
          <w:color w:val="000000"/>
          <w:sz w:val="22"/>
          <w:szCs w:val="22"/>
        </w:rPr>
        <w:t>, perno dei servizi pubblici e contemporaneamente oggetto di vere e proprie campagne denigratorie negli ultimi decenni</w:t>
      </w:r>
      <w:r w:rsidRPr="004F5021">
        <w:rPr>
          <w:rFonts w:asciiTheme="minorHAnsi" w:hAnsiTheme="minorHAnsi" w:cstheme="minorHAnsi"/>
          <w:b/>
          <w:color w:val="000000"/>
          <w:sz w:val="22"/>
          <w:szCs w:val="22"/>
        </w:rPr>
        <w:t>, sia possibile produrre Valore Pubblico per il territorio e la comunità.”</w:t>
      </w:r>
    </w:p>
    <w:p w:rsidR="006A29BF" w:rsidRDefault="006A29BF" w:rsidP="006A29BF">
      <w:pPr>
        <w:shd w:val="clear" w:color="auto" w:fill="FFFFFF"/>
        <w:spacing w:after="150" w:line="240" w:lineRule="auto"/>
        <w:jc w:val="both"/>
        <w:rPr>
          <w:rFonts w:cstheme="minorHAnsi"/>
          <w:b/>
          <w:bCs/>
          <w:i/>
          <w:iCs/>
          <w:sz w:val="18"/>
          <w:szCs w:val="18"/>
        </w:rPr>
      </w:pPr>
    </w:p>
    <w:p w:rsidR="006A29BF" w:rsidRPr="00EC6DD0" w:rsidRDefault="006A29BF" w:rsidP="006A29BF">
      <w:pPr>
        <w:shd w:val="clear" w:color="auto" w:fill="FFFFFF"/>
        <w:spacing w:after="150" w:line="240" w:lineRule="auto"/>
        <w:jc w:val="both"/>
        <w:rPr>
          <w:rFonts w:cstheme="minorHAnsi"/>
          <w:bCs/>
          <w:i/>
          <w:iCs/>
          <w:sz w:val="18"/>
          <w:szCs w:val="18"/>
        </w:rPr>
      </w:pPr>
      <w:r w:rsidRPr="00EC6DD0">
        <w:rPr>
          <w:rFonts w:cstheme="minorHAnsi"/>
          <w:b/>
          <w:bCs/>
          <w:i/>
          <w:iCs/>
          <w:sz w:val="18"/>
          <w:szCs w:val="18"/>
        </w:rPr>
        <w:t>FEDERMANAGER BOLOGNA - FERRARA - RAVENNA</w:t>
      </w:r>
      <w:r w:rsidRPr="00EC6DD0">
        <w:rPr>
          <w:rFonts w:cstheme="minorHAnsi"/>
          <w:bCs/>
          <w:i/>
          <w:iCs/>
          <w:sz w:val="18"/>
          <w:szCs w:val="18"/>
        </w:rPr>
        <w:t xml:space="preserve">, con all’attivo circa 3100 iscritti, è la sede territoriale di </w:t>
      </w:r>
      <w:r w:rsidRPr="00EC6DD0">
        <w:rPr>
          <w:rFonts w:cstheme="minorHAnsi"/>
          <w:b/>
          <w:bCs/>
          <w:i/>
          <w:iCs/>
          <w:sz w:val="18"/>
          <w:szCs w:val="18"/>
        </w:rPr>
        <w:t xml:space="preserve">FEDERMANAGER, </w:t>
      </w:r>
      <w:r w:rsidRPr="00EC6DD0">
        <w:rPr>
          <w:rFonts w:cstheme="minorHAnsi"/>
          <w:bCs/>
          <w:i/>
          <w:iCs/>
          <w:sz w:val="18"/>
          <w:szCs w:val="18"/>
        </w:rPr>
        <w:t>organizzazione</w:t>
      </w:r>
      <w:r w:rsidRPr="00EC6DD0">
        <w:rPr>
          <w:rFonts w:cstheme="minorHAnsi"/>
          <w:b/>
          <w:bCs/>
          <w:i/>
          <w:iCs/>
          <w:sz w:val="18"/>
          <w:szCs w:val="18"/>
        </w:rPr>
        <w:t xml:space="preserve"> </w:t>
      </w:r>
      <w:r w:rsidRPr="00EC6DD0">
        <w:rPr>
          <w:rFonts w:cstheme="minorHAnsi"/>
          <w:bCs/>
          <w:i/>
          <w:iCs/>
          <w:sz w:val="18"/>
          <w:szCs w:val="18"/>
        </w:rPr>
        <w:t xml:space="preserve">costituita nel 1945 che rappresenta e tutela 180.000 dirigenti in servizio e in pensione delle imprese produttrici di beni e di servizi. Gli associati sono dirigenti di piccole, medie e grandi imprese, operano in tutti i settori dell’industria privata ed a partecipazione statale, compresi gli enti pubblici economici, nonché nelle attività ausiliarie e complementari dell’industria. </w:t>
      </w:r>
      <w:proofErr w:type="spellStart"/>
      <w:r w:rsidRPr="00EC6DD0">
        <w:rPr>
          <w:rFonts w:cstheme="minorHAnsi"/>
          <w:bCs/>
          <w:i/>
          <w:iCs/>
          <w:sz w:val="18"/>
          <w:szCs w:val="18"/>
        </w:rPr>
        <w:t>Federmanager</w:t>
      </w:r>
      <w:proofErr w:type="spellEnd"/>
      <w:r w:rsidRPr="00EC6DD0">
        <w:rPr>
          <w:rFonts w:cstheme="minorHAnsi"/>
          <w:bCs/>
          <w:i/>
          <w:iCs/>
          <w:sz w:val="18"/>
          <w:szCs w:val="18"/>
        </w:rPr>
        <w:t xml:space="preserve"> è presente su tutto il territorio nazionale tramite 55 associazioni territoriali le quali forniscono ai dirigenti assistenza di carattere contrattuale, previdenziale, legale, fiscale e realizzano iniziative di natura culturale, formativa e di networking. Info: </w:t>
      </w:r>
      <w:hyperlink r:id="rId8" w:history="1">
        <w:r w:rsidR="004E55FF" w:rsidRPr="00A87A0C">
          <w:rPr>
            <w:rStyle w:val="Collegamentoipertestuale"/>
            <w:i/>
            <w:sz w:val="18"/>
            <w:szCs w:val="18"/>
          </w:rPr>
          <w:t>https://bologna.federmanager.it/</w:t>
        </w:r>
      </w:hyperlink>
    </w:p>
    <w:p w:rsidR="006A29BF" w:rsidRPr="006F0D01" w:rsidRDefault="006A29BF" w:rsidP="006A29BF">
      <w:pPr>
        <w:shd w:val="clear" w:color="auto" w:fill="FFFFFF"/>
        <w:spacing w:after="150" w:line="240" w:lineRule="auto"/>
        <w:jc w:val="both"/>
        <w:rPr>
          <w:rFonts w:cstheme="minorHAnsi"/>
          <w:bCs/>
          <w:i/>
          <w:iCs/>
          <w:sz w:val="18"/>
          <w:szCs w:val="18"/>
        </w:rPr>
      </w:pPr>
    </w:p>
    <w:p w:rsidR="009F65A0" w:rsidRPr="00180A0D" w:rsidRDefault="006A29BF" w:rsidP="00180A0D">
      <w:pPr>
        <w:pStyle w:val="Standard"/>
        <w:spacing w:after="120"/>
        <w:rPr>
          <w:rFonts w:asciiTheme="minorHAnsi" w:hAnsiTheme="minorHAnsi" w:cstheme="minorHAnsi"/>
          <w:color w:val="0000FF" w:themeColor="hyperlink"/>
          <w:sz w:val="18"/>
          <w:szCs w:val="18"/>
          <w:u w:val="single"/>
        </w:rPr>
      </w:pPr>
      <w:r w:rsidRPr="00010678">
        <w:rPr>
          <w:rFonts w:asciiTheme="minorHAnsi" w:hAnsiTheme="minorHAnsi" w:cstheme="minorHAnsi"/>
          <w:sz w:val="18"/>
          <w:szCs w:val="18"/>
        </w:rPr>
        <w:t xml:space="preserve">Informazioni stampa: Monica Dall’Olio – 335 470916 – </w:t>
      </w:r>
      <w:hyperlink r:id="rId9" w:history="1">
        <w:r w:rsidRPr="00010678">
          <w:rPr>
            <w:rStyle w:val="Collegamentoipertestuale"/>
            <w:rFonts w:asciiTheme="minorHAnsi" w:hAnsiTheme="minorHAnsi" w:cstheme="minorHAnsi"/>
            <w:sz w:val="18"/>
            <w:szCs w:val="18"/>
          </w:rPr>
          <w:t>monica.dallolio1@gmail.com</w:t>
        </w:r>
      </w:hyperlink>
    </w:p>
    <w:sectPr w:rsidR="009F65A0" w:rsidRPr="00180A0D" w:rsidSect="00873B29">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C8" w:rsidRDefault="007F4DC8" w:rsidP="00B4313E">
      <w:pPr>
        <w:spacing w:after="0" w:line="240" w:lineRule="auto"/>
      </w:pPr>
      <w:r>
        <w:separator/>
      </w:r>
    </w:p>
  </w:endnote>
  <w:endnote w:type="continuationSeparator" w:id="0">
    <w:p w:rsidR="007F4DC8" w:rsidRDefault="007F4DC8" w:rsidP="00B4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C8" w:rsidRDefault="007F4DC8" w:rsidP="00B4313E">
      <w:pPr>
        <w:spacing w:after="0" w:line="240" w:lineRule="auto"/>
      </w:pPr>
      <w:r>
        <w:separator/>
      </w:r>
    </w:p>
  </w:footnote>
  <w:footnote w:type="continuationSeparator" w:id="0">
    <w:p w:rsidR="007F4DC8" w:rsidRDefault="007F4DC8" w:rsidP="00B4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622" w:rsidRDefault="00561622" w:rsidP="00561622">
    <w:pPr>
      <w:pStyle w:val="Intestazione"/>
    </w:pPr>
    <w:r>
      <w:rPr>
        <w:noProof/>
        <w:lang w:eastAsia="it-IT"/>
      </w:rPr>
      <w:drawing>
        <wp:anchor distT="0" distB="0" distL="114300" distR="114300" simplePos="0" relativeHeight="251658240" behindDoc="0" locked="0" layoutInCell="1" allowOverlap="1" wp14:anchorId="11046D9D" wp14:editId="71EDD47B">
          <wp:simplePos x="0" y="0"/>
          <wp:positionH relativeFrom="margin">
            <wp:posOffset>-104775</wp:posOffset>
          </wp:positionH>
          <wp:positionV relativeFrom="paragraph">
            <wp:posOffset>142240</wp:posOffset>
          </wp:positionV>
          <wp:extent cx="2490470" cy="755650"/>
          <wp:effectExtent l="0" t="0" r="5080" b="635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470" cy="755650"/>
                  </a:xfrm>
                  <a:prstGeom prst="rect">
                    <a:avLst/>
                  </a:prstGeom>
                </pic:spPr>
              </pic:pic>
            </a:graphicData>
          </a:graphic>
        </wp:anchor>
      </w:drawing>
    </w:r>
    <w:r w:rsidR="00D12346">
      <w:rPr>
        <w:noProof/>
        <w:lang w:eastAsia="it-IT"/>
      </w:rPr>
      <mc:AlternateContent>
        <mc:Choice Requires="wps">
          <w:drawing>
            <wp:anchor distT="0" distB="0" distL="114300" distR="114300" simplePos="0" relativeHeight="251659264" behindDoc="0" locked="0" layoutInCell="1" allowOverlap="1">
              <wp:simplePos x="0" y="0"/>
              <wp:positionH relativeFrom="column">
                <wp:posOffset>5071110</wp:posOffset>
              </wp:positionH>
              <wp:positionV relativeFrom="paragraph">
                <wp:posOffset>118745</wp:posOffset>
              </wp:positionV>
              <wp:extent cx="1524000" cy="1054735"/>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1054735"/>
                      </a:xfrm>
                      <a:prstGeom prst="rect">
                        <a:avLst/>
                      </a:prstGeom>
                      <a:solidFill>
                        <a:schemeClr val="lt1"/>
                      </a:solidFill>
                      <a:ln w="6350">
                        <a:noFill/>
                      </a:ln>
                    </wps:spPr>
                    <wps:txbx>
                      <w:txbxContent>
                        <w:p w:rsidR="00561622" w:rsidRDefault="00561622" w:rsidP="00561622">
                          <w:r>
                            <w:rPr>
                              <w:noProof/>
                              <w:lang w:eastAsia="it-IT"/>
                            </w:rPr>
                            <w:drawing>
                              <wp:inline distT="0" distB="0" distL="0" distR="0" wp14:anchorId="6F88E6F6" wp14:editId="72116D84">
                                <wp:extent cx="930534" cy="683740"/>
                                <wp:effectExtent l="0" t="0" r="3175"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rdine-degli-ingegneri-della-provincia-di-ravenna-l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4450" cy="693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4" o:spid="_x0000_s1026" type="#_x0000_t202" style="position:absolute;margin-left:399.3pt;margin-top:9.35pt;width:120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" fillcolor="white [3201]" stroked="f" strokeweight=".5pt">
              <v:path arrowok="t"/>
              <v:textbox>
                <w:txbxContent>
                  <w:p w:rsidR="00561622" w:rsidRDefault="00561622" w:rsidP="00561622">
                    <w:r>
                      <w:rPr>
                        <w:noProof/>
                        <w:lang w:eastAsia="it-IT"/>
                      </w:rPr>
                      <w:drawing>
                        <wp:inline distT="0" distB="0" distL="0" distR="0" wp14:anchorId="6F88E6F6" wp14:editId="72116D84">
                          <wp:extent cx="930534" cy="683740"/>
                          <wp:effectExtent l="0" t="0" r="3175"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rdine-degli-ingegneri-della-provincia-di-ravenna-l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4450" cy="693965"/>
                                  </a:xfrm>
                                  <a:prstGeom prst="rect">
                                    <a:avLst/>
                                  </a:prstGeom>
                                </pic:spPr>
                              </pic:pic>
                            </a:graphicData>
                          </a:graphic>
                        </wp:inline>
                      </w:drawing>
                    </w:r>
                  </w:p>
                </w:txbxContent>
              </v:textbox>
            </v:shape>
          </w:pict>
        </mc:Fallback>
      </mc:AlternateContent>
    </w:r>
    <w:r>
      <w:rPr>
        <w:noProof/>
        <w:lang w:eastAsia="it-IT"/>
      </w:rPr>
      <w:t xml:space="preserve">                                                                                  </w:t>
    </w:r>
    <w:r>
      <w:rPr>
        <w:noProof/>
        <w:lang w:eastAsia="it-IT"/>
      </w:rPr>
      <w:drawing>
        <wp:inline distT="0" distB="0" distL="0" distR="0" wp14:anchorId="00ECA7AB" wp14:editId="11E90B56">
          <wp:extent cx="1087395" cy="108739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rdingbo.jpg"/>
                  <pic:cNvPicPr/>
                </pic:nvPicPr>
                <pic:blipFill>
                  <a:blip r:embed="rId4">
                    <a:extLst>
                      <a:ext uri="{28A0092B-C50C-407E-A947-70E740481C1C}">
                        <a14:useLocalDpi xmlns:a14="http://schemas.microsoft.com/office/drawing/2010/main" val="0"/>
                      </a:ext>
                    </a:extLst>
                  </a:blip>
                  <a:stretch>
                    <a:fillRect/>
                  </a:stretch>
                </pic:blipFill>
                <pic:spPr>
                  <a:xfrm>
                    <a:off x="0" y="0"/>
                    <a:ext cx="1094098" cy="1094098"/>
                  </a:xfrm>
                  <a:prstGeom prst="rect">
                    <a:avLst/>
                  </a:prstGeom>
                </pic:spPr>
              </pic:pic>
            </a:graphicData>
          </a:graphic>
        </wp:inline>
      </w:drawing>
    </w:r>
    <w:r>
      <w:rPr>
        <w:noProof/>
        <w:lang w:eastAsia="it-IT"/>
      </w:rPr>
      <w:t xml:space="preserve">      </w:t>
    </w:r>
    <w:r>
      <w:rPr>
        <w:noProof/>
        <w:lang w:eastAsia="it-IT"/>
      </w:rPr>
      <w:drawing>
        <wp:inline distT="0" distB="0" distL="0" distR="0" wp14:anchorId="3464AF45" wp14:editId="15A4C4EB">
          <wp:extent cx="955590" cy="872496"/>
          <wp:effectExtent l="0" t="0" r="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30227b6-9470-40da-8856-352cb5d9ecf7.jpeg"/>
                  <pic:cNvPicPr/>
                </pic:nvPicPr>
                <pic:blipFill>
                  <a:blip r:embed="rId5">
                    <a:extLst>
                      <a:ext uri="{28A0092B-C50C-407E-A947-70E740481C1C}">
                        <a14:useLocalDpi xmlns:a14="http://schemas.microsoft.com/office/drawing/2010/main" val="0"/>
                      </a:ext>
                    </a:extLst>
                  </a:blip>
                  <a:stretch>
                    <a:fillRect/>
                  </a:stretch>
                </pic:blipFill>
                <pic:spPr>
                  <a:xfrm>
                    <a:off x="0" y="0"/>
                    <a:ext cx="998190" cy="911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2DB3"/>
    <w:multiLevelType w:val="hybridMultilevel"/>
    <w:tmpl w:val="E7C03A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E26489"/>
    <w:multiLevelType w:val="hybridMultilevel"/>
    <w:tmpl w:val="562E9E36"/>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2728B5E6">
      <w:start w:val="5"/>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D96FA3"/>
    <w:multiLevelType w:val="hybridMultilevel"/>
    <w:tmpl w:val="143817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CC"/>
    <w:rsid w:val="00003E3D"/>
    <w:rsid w:val="00004BD6"/>
    <w:rsid w:val="00010DD1"/>
    <w:rsid w:val="000141ED"/>
    <w:rsid w:val="0002100D"/>
    <w:rsid w:val="000261C3"/>
    <w:rsid w:val="000304B5"/>
    <w:rsid w:val="000524CE"/>
    <w:rsid w:val="00052ECC"/>
    <w:rsid w:val="000537FC"/>
    <w:rsid w:val="0006658A"/>
    <w:rsid w:val="0007751F"/>
    <w:rsid w:val="00082F80"/>
    <w:rsid w:val="00084CE4"/>
    <w:rsid w:val="0008695E"/>
    <w:rsid w:val="000A1A25"/>
    <w:rsid w:val="000B110F"/>
    <w:rsid w:val="000C00DD"/>
    <w:rsid w:val="000C112B"/>
    <w:rsid w:val="000D2F6C"/>
    <w:rsid w:val="000E47E4"/>
    <w:rsid w:val="000E5DD3"/>
    <w:rsid w:val="000F27C8"/>
    <w:rsid w:val="000F3769"/>
    <w:rsid w:val="0011107A"/>
    <w:rsid w:val="00114131"/>
    <w:rsid w:val="0014037F"/>
    <w:rsid w:val="00146387"/>
    <w:rsid w:val="001464CB"/>
    <w:rsid w:val="001633C3"/>
    <w:rsid w:val="00173C45"/>
    <w:rsid w:val="00177D76"/>
    <w:rsid w:val="00180A0D"/>
    <w:rsid w:val="0018153F"/>
    <w:rsid w:val="00181E57"/>
    <w:rsid w:val="00184ED3"/>
    <w:rsid w:val="001915AA"/>
    <w:rsid w:val="001B62C5"/>
    <w:rsid w:val="001C47E1"/>
    <w:rsid w:val="001E1B6F"/>
    <w:rsid w:val="001E4694"/>
    <w:rsid w:val="0020025E"/>
    <w:rsid w:val="00222091"/>
    <w:rsid w:val="0022378B"/>
    <w:rsid w:val="00223884"/>
    <w:rsid w:val="00240788"/>
    <w:rsid w:val="00243797"/>
    <w:rsid w:val="00254BD9"/>
    <w:rsid w:val="00256361"/>
    <w:rsid w:val="00256444"/>
    <w:rsid w:val="0025791A"/>
    <w:rsid w:val="00264150"/>
    <w:rsid w:val="002A0C7C"/>
    <w:rsid w:val="002F1901"/>
    <w:rsid w:val="003044F5"/>
    <w:rsid w:val="003112E0"/>
    <w:rsid w:val="0033712C"/>
    <w:rsid w:val="00354CD9"/>
    <w:rsid w:val="00357D2F"/>
    <w:rsid w:val="003913FA"/>
    <w:rsid w:val="0039581E"/>
    <w:rsid w:val="003A4F4F"/>
    <w:rsid w:val="003B3C66"/>
    <w:rsid w:val="003B641A"/>
    <w:rsid w:val="003C47B4"/>
    <w:rsid w:val="003D796E"/>
    <w:rsid w:val="003E293D"/>
    <w:rsid w:val="003E375E"/>
    <w:rsid w:val="003F44B9"/>
    <w:rsid w:val="004021A6"/>
    <w:rsid w:val="00402915"/>
    <w:rsid w:val="004127F2"/>
    <w:rsid w:val="00421F01"/>
    <w:rsid w:val="00422400"/>
    <w:rsid w:val="00425272"/>
    <w:rsid w:val="0043246D"/>
    <w:rsid w:val="00433897"/>
    <w:rsid w:val="00433B22"/>
    <w:rsid w:val="00443F8F"/>
    <w:rsid w:val="00454335"/>
    <w:rsid w:val="00464810"/>
    <w:rsid w:val="00481DF1"/>
    <w:rsid w:val="004858C6"/>
    <w:rsid w:val="004C01E5"/>
    <w:rsid w:val="004E55FF"/>
    <w:rsid w:val="004E6265"/>
    <w:rsid w:val="004F5021"/>
    <w:rsid w:val="00526EB9"/>
    <w:rsid w:val="005277F8"/>
    <w:rsid w:val="00546B29"/>
    <w:rsid w:val="00546E9E"/>
    <w:rsid w:val="00553DAD"/>
    <w:rsid w:val="00555308"/>
    <w:rsid w:val="00556028"/>
    <w:rsid w:val="005560AD"/>
    <w:rsid w:val="00561622"/>
    <w:rsid w:val="0059123F"/>
    <w:rsid w:val="005B4E60"/>
    <w:rsid w:val="005C12BB"/>
    <w:rsid w:val="005C3490"/>
    <w:rsid w:val="00605DE9"/>
    <w:rsid w:val="00625259"/>
    <w:rsid w:val="006466B0"/>
    <w:rsid w:val="00664910"/>
    <w:rsid w:val="00670657"/>
    <w:rsid w:val="0068002E"/>
    <w:rsid w:val="006832D8"/>
    <w:rsid w:val="0069761B"/>
    <w:rsid w:val="006A29BF"/>
    <w:rsid w:val="006A3D02"/>
    <w:rsid w:val="006B4E94"/>
    <w:rsid w:val="006D06AC"/>
    <w:rsid w:val="006D3460"/>
    <w:rsid w:val="006F0D01"/>
    <w:rsid w:val="00704E84"/>
    <w:rsid w:val="007050B1"/>
    <w:rsid w:val="00707D19"/>
    <w:rsid w:val="0071049A"/>
    <w:rsid w:val="00710C9B"/>
    <w:rsid w:val="007137EF"/>
    <w:rsid w:val="007319E7"/>
    <w:rsid w:val="00733175"/>
    <w:rsid w:val="007351A2"/>
    <w:rsid w:val="00735740"/>
    <w:rsid w:val="00753077"/>
    <w:rsid w:val="007545D0"/>
    <w:rsid w:val="00783D43"/>
    <w:rsid w:val="00785144"/>
    <w:rsid w:val="007961F6"/>
    <w:rsid w:val="007B27B4"/>
    <w:rsid w:val="007B4BA6"/>
    <w:rsid w:val="007C338F"/>
    <w:rsid w:val="007E0ACB"/>
    <w:rsid w:val="007E7443"/>
    <w:rsid w:val="007F4DC8"/>
    <w:rsid w:val="007F68CD"/>
    <w:rsid w:val="008059E9"/>
    <w:rsid w:val="008064C5"/>
    <w:rsid w:val="00807111"/>
    <w:rsid w:val="00810724"/>
    <w:rsid w:val="00820CBC"/>
    <w:rsid w:val="0083107D"/>
    <w:rsid w:val="008351D1"/>
    <w:rsid w:val="00845B5A"/>
    <w:rsid w:val="008462B6"/>
    <w:rsid w:val="00852987"/>
    <w:rsid w:val="00857252"/>
    <w:rsid w:val="00873B29"/>
    <w:rsid w:val="00875D68"/>
    <w:rsid w:val="008811A0"/>
    <w:rsid w:val="00881AF3"/>
    <w:rsid w:val="00887DFB"/>
    <w:rsid w:val="00890088"/>
    <w:rsid w:val="00891F47"/>
    <w:rsid w:val="008A127D"/>
    <w:rsid w:val="008C3AAA"/>
    <w:rsid w:val="008D27F1"/>
    <w:rsid w:val="008D31F5"/>
    <w:rsid w:val="008D49F4"/>
    <w:rsid w:val="008E721B"/>
    <w:rsid w:val="008F6C2F"/>
    <w:rsid w:val="0090470D"/>
    <w:rsid w:val="00906325"/>
    <w:rsid w:val="0092074E"/>
    <w:rsid w:val="00923D18"/>
    <w:rsid w:val="0092563D"/>
    <w:rsid w:val="00932976"/>
    <w:rsid w:val="00943F9F"/>
    <w:rsid w:val="0094795C"/>
    <w:rsid w:val="00952BF8"/>
    <w:rsid w:val="009664F2"/>
    <w:rsid w:val="00967F5F"/>
    <w:rsid w:val="00971FD5"/>
    <w:rsid w:val="00982936"/>
    <w:rsid w:val="009D7D33"/>
    <w:rsid w:val="009E6A64"/>
    <w:rsid w:val="009F5D78"/>
    <w:rsid w:val="009F65A0"/>
    <w:rsid w:val="009F78C4"/>
    <w:rsid w:val="00A01368"/>
    <w:rsid w:val="00A061A6"/>
    <w:rsid w:val="00A1746A"/>
    <w:rsid w:val="00A4311A"/>
    <w:rsid w:val="00A55D73"/>
    <w:rsid w:val="00A6053C"/>
    <w:rsid w:val="00A624D4"/>
    <w:rsid w:val="00A6468C"/>
    <w:rsid w:val="00A6669F"/>
    <w:rsid w:val="00A719D4"/>
    <w:rsid w:val="00A94795"/>
    <w:rsid w:val="00AA0DE9"/>
    <w:rsid w:val="00AA23FC"/>
    <w:rsid w:val="00AA5FA8"/>
    <w:rsid w:val="00AB3B36"/>
    <w:rsid w:val="00AD3FD8"/>
    <w:rsid w:val="00AF2D46"/>
    <w:rsid w:val="00AF3605"/>
    <w:rsid w:val="00AF5D76"/>
    <w:rsid w:val="00AF69F4"/>
    <w:rsid w:val="00B01CED"/>
    <w:rsid w:val="00B216E2"/>
    <w:rsid w:val="00B21F3D"/>
    <w:rsid w:val="00B24FD6"/>
    <w:rsid w:val="00B256DF"/>
    <w:rsid w:val="00B26D57"/>
    <w:rsid w:val="00B4313E"/>
    <w:rsid w:val="00B51225"/>
    <w:rsid w:val="00B56582"/>
    <w:rsid w:val="00B6503B"/>
    <w:rsid w:val="00B67057"/>
    <w:rsid w:val="00BA07D5"/>
    <w:rsid w:val="00BA71DF"/>
    <w:rsid w:val="00BA7DDB"/>
    <w:rsid w:val="00BB7777"/>
    <w:rsid w:val="00BC4F31"/>
    <w:rsid w:val="00BD16B8"/>
    <w:rsid w:val="00BE2121"/>
    <w:rsid w:val="00BE2E35"/>
    <w:rsid w:val="00BE3D0D"/>
    <w:rsid w:val="00C06BCE"/>
    <w:rsid w:val="00C20104"/>
    <w:rsid w:val="00C40419"/>
    <w:rsid w:val="00C47354"/>
    <w:rsid w:val="00C71B67"/>
    <w:rsid w:val="00C83BC0"/>
    <w:rsid w:val="00C92368"/>
    <w:rsid w:val="00C954C4"/>
    <w:rsid w:val="00CB08AD"/>
    <w:rsid w:val="00CE661D"/>
    <w:rsid w:val="00CF4001"/>
    <w:rsid w:val="00D04C42"/>
    <w:rsid w:val="00D07751"/>
    <w:rsid w:val="00D07A97"/>
    <w:rsid w:val="00D12346"/>
    <w:rsid w:val="00D20566"/>
    <w:rsid w:val="00D307EB"/>
    <w:rsid w:val="00D34549"/>
    <w:rsid w:val="00D5371B"/>
    <w:rsid w:val="00D62A84"/>
    <w:rsid w:val="00D6330E"/>
    <w:rsid w:val="00D65611"/>
    <w:rsid w:val="00D659CE"/>
    <w:rsid w:val="00D93393"/>
    <w:rsid w:val="00DA3286"/>
    <w:rsid w:val="00DC079E"/>
    <w:rsid w:val="00DC4007"/>
    <w:rsid w:val="00DE4418"/>
    <w:rsid w:val="00DF46D8"/>
    <w:rsid w:val="00E001C8"/>
    <w:rsid w:val="00E02AE4"/>
    <w:rsid w:val="00E02CAE"/>
    <w:rsid w:val="00E2605A"/>
    <w:rsid w:val="00E27A81"/>
    <w:rsid w:val="00E456CC"/>
    <w:rsid w:val="00E7333A"/>
    <w:rsid w:val="00E835C0"/>
    <w:rsid w:val="00EB0C34"/>
    <w:rsid w:val="00EB7EDB"/>
    <w:rsid w:val="00EC715E"/>
    <w:rsid w:val="00ED0A86"/>
    <w:rsid w:val="00EF0410"/>
    <w:rsid w:val="00EF3F07"/>
    <w:rsid w:val="00F03912"/>
    <w:rsid w:val="00F042EF"/>
    <w:rsid w:val="00F05E84"/>
    <w:rsid w:val="00F26C9B"/>
    <w:rsid w:val="00F37070"/>
    <w:rsid w:val="00F40A9D"/>
    <w:rsid w:val="00F47DBA"/>
    <w:rsid w:val="00F50755"/>
    <w:rsid w:val="00F71F64"/>
    <w:rsid w:val="00F7334D"/>
    <w:rsid w:val="00F7488C"/>
    <w:rsid w:val="00F868E7"/>
    <w:rsid w:val="00F91B4B"/>
    <w:rsid w:val="00FA7FF2"/>
    <w:rsid w:val="00FB2D0E"/>
    <w:rsid w:val="00FB6BB1"/>
    <w:rsid w:val="00FC0929"/>
    <w:rsid w:val="00FD7FCA"/>
    <w:rsid w:val="00FE2494"/>
    <w:rsid w:val="00FE5A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9BE1F"/>
  <w15:docId w15:val="{E49E5786-4A61-4499-A10C-1C71802C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D33"/>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4150"/>
    <w:rPr>
      <w:color w:val="0000FF" w:themeColor="hyperlink"/>
      <w:u w:val="single"/>
    </w:rPr>
  </w:style>
  <w:style w:type="paragraph" w:styleId="Intestazione">
    <w:name w:val="header"/>
    <w:basedOn w:val="Normale"/>
    <w:link w:val="IntestazioneCarattere"/>
    <w:uiPriority w:val="99"/>
    <w:unhideWhenUsed/>
    <w:rsid w:val="00B431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313E"/>
  </w:style>
  <w:style w:type="paragraph" w:styleId="Pidipagina">
    <w:name w:val="footer"/>
    <w:basedOn w:val="Normale"/>
    <w:link w:val="PidipaginaCarattere"/>
    <w:uiPriority w:val="99"/>
    <w:unhideWhenUsed/>
    <w:rsid w:val="00B431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313E"/>
  </w:style>
  <w:style w:type="paragraph" w:styleId="Testofumetto">
    <w:name w:val="Balloon Text"/>
    <w:basedOn w:val="Normale"/>
    <w:link w:val="TestofumettoCarattere"/>
    <w:uiPriority w:val="99"/>
    <w:semiHidden/>
    <w:unhideWhenUsed/>
    <w:rsid w:val="00B431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13E"/>
    <w:rPr>
      <w:rFonts w:ascii="Tahoma" w:hAnsi="Tahoma" w:cs="Tahoma"/>
      <w:sz w:val="16"/>
      <w:szCs w:val="16"/>
    </w:rPr>
  </w:style>
  <w:style w:type="paragraph" w:customStyle="1" w:styleId="Standard">
    <w:name w:val="Standard"/>
    <w:rsid w:val="000304B5"/>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character" w:styleId="Collegamentovisitato">
    <w:name w:val="FollowedHyperlink"/>
    <w:basedOn w:val="Carpredefinitoparagrafo"/>
    <w:uiPriority w:val="99"/>
    <w:semiHidden/>
    <w:unhideWhenUsed/>
    <w:rsid w:val="00AB3B36"/>
    <w:rPr>
      <w:color w:val="800080" w:themeColor="followedHyperlink"/>
      <w:u w:val="single"/>
    </w:rPr>
  </w:style>
  <w:style w:type="paragraph" w:styleId="NormaleWeb">
    <w:name w:val="Normal (Web)"/>
    <w:basedOn w:val="Normale"/>
    <w:uiPriority w:val="99"/>
    <w:semiHidden/>
    <w:unhideWhenUsed/>
    <w:rsid w:val="00F71F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8">
    <w:name w:val="s18"/>
    <w:basedOn w:val="Normale"/>
    <w:rsid w:val="008C3A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6">
    <w:name w:val="s16"/>
    <w:basedOn w:val="Carpredefinitoparagrafo"/>
    <w:rsid w:val="008C3AAA"/>
  </w:style>
  <w:style w:type="character" w:customStyle="1" w:styleId="s17">
    <w:name w:val="s17"/>
    <w:basedOn w:val="Carpredefinitoparagrafo"/>
    <w:rsid w:val="008C3AAA"/>
  </w:style>
  <w:style w:type="character" w:customStyle="1" w:styleId="s9">
    <w:name w:val="s9"/>
    <w:basedOn w:val="Carpredefinitoparagrafo"/>
    <w:rsid w:val="008C3AAA"/>
  </w:style>
  <w:style w:type="character" w:customStyle="1" w:styleId="s23">
    <w:name w:val="s23"/>
    <w:basedOn w:val="Carpredefinitoparagrafo"/>
    <w:rsid w:val="008C3AAA"/>
  </w:style>
  <w:style w:type="character" w:customStyle="1" w:styleId="s24">
    <w:name w:val="s24"/>
    <w:basedOn w:val="Carpredefinitoparagrafo"/>
    <w:rsid w:val="008C3AAA"/>
  </w:style>
  <w:style w:type="character" w:customStyle="1" w:styleId="s20">
    <w:name w:val="s20"/>
    <w:basedOn w:val="Carpredefinitoparagrafo"/>
    <w:rsid w:val="008C3AAA"/>
  </w:style>
  <w:style w:type="character" w:customStyle="1" w:styleId="s21">
    <w:name w:val="s21"/>
    <w:basedOn w:val="Carpredefinitoparagrafo"/>
    <w:rsid w:val="008C3AAA"/>
  </w:style>
  <w:style w:type="character" w:customStyle="1" w:styleId="s22">
    <w:name w:val="s22"/>
    <w:basedOn w:val="Carpredefinitoparagrafo"/>
    <w:rsid w:val="008C3AAA"/>
  </w:style>
  <w:style w:type="character" w:customStyle="1" w:styleId="s19">
    <w:name w:val="s19"/>
    <w:basedOn w:val="Carpredefinitoparagrafo"/>
    <w:rsid w:val="001E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4186">
      <w:bodyDiv w:val="1"/>
      <w:marLeft w:val="0"/>
      <w:marRight w:val="0"/>
      <w:marTop w:val="0"/>
      <w:marBottom w:val="0"/>
      <w:divBdr>
        <w:top w:val="none" w:sz="0" w:space="0" w:color="auto"/>
        <w:left w:val="none" w:sz="0" w:space="0" w:color="auto"/>
        <w:bottom w:val="none" w:sz="0" w:space="0" w:color="auto"/>
        <w:right w:val="none" w:sz="0" w:space="0" w:color="auto"/>
      </w:divBdr>
    </w:div>
    <w:div w:id="763494422">
      <w:bodyDiv w:val="1"/>
      <w:marLeft w:val="0"/>
      <w:marRight w:val="0"/>
      <w:marTop w:val="0"/>
      <w:marBottom w:val="0"/>
      <w:divBdr>
        <w:top w:val="none" w:sz="0" w:space="0" w:color="auto"/>
        <w:left w:val="none" w:sz="0" w:space="0" w:color="auto"/>
        <w:bottom w:val="none" w:sz="0" w:space="0" w:color="auto"/>
        <w:right w:val="none" w:sz="0" w:space="0" w:color="auto"/>
      </w:divBdr>
      <w:divsChild>
        <w:div w:id="1819683558">
          <w:marLeft w:val="0"/>
          <w:marRight w:val="0"/>
          <w:marTop w:val="0"/>
          <w:marBottom w:val="0"/>
          <w:divBdr>
            <w:top w:val="none" w:sz="0" w:space="0" w:color="auto"/>
            <w:left w:val="none" w:sz="0" w:space="0" w:color="auto"/>
            <w:bottom w:val="none" w:sz="0" w:space="0" w:color="auto"/>
            <w:right w:val="none" w:sz="0" w:space="0" w:color="auto"/>
          </w:divBdr>
        </w:div>
        <w:div w:id="1363091439">
          <w:marLeft w:val="0"/>
          <w:marRight w:val="0"/>
          <w:marTop w:val="0"/>
          <w:marBottom w:val="0"/>
          <w:divBdr>
            <w:top w:val="none" w:sz="0" w:space="0" w:color="auto"/>
            <w:left w:val="none" w:sz="0" w:space="0" w:color="auto"/>
            <w:bottom w:val="none" w:sz="0" w:space="0" w:color="auto"/>
            <w:right w:val="none" w:sz="0" w:space="0" w:color="auto"/>
          </w:divBdr>
        </w:div>
      </w:divsChild>
    </w:div>
    <w:div w:id="822502880">
      <w:bodyDiv w:val="1"/>
      <w:marLeft w:val="0"/>
      <w:marRight w:val="0"/>
      <w:marTop w:val="0"/>
      <w:marBottom w:val="0"/>
      <w:divBdr>
        <w:top w:val="none" w:sz="0" w:space="0" w:color="auto"/>
        <w:left w:val="none" w:sz="0" w:space="0" w:color="auto"/>
        <w:bottom w:val="none" w:sz="0" w:space="0" w:color="auto"/>
        <w:right w:val="none" w:sz="0" w:space="0" w:color="auto"/>
      </w:divBdr>
    </w:div>
    <w:div w:id="958684485">
      <w:bodyDiv w:val="1"/>
      <w:marLeft w:val="0"/>
      <w:marRight w:val="0"/>
      <w:marTop w:val="0"/>
      <w:marBottom w:val="0"/>
      <w:divBdr>
        <w:top w:val="none" w:sz="0" w:space="0" w:color="auto"/>
        <w:left w:val="none" w:sz="0" w:space="0" w:color="auto"/>
        <w:bottom w:val="none" w:sz="0" w:space="0" w:color="auto"/>
        <w:right w:val="none" w:sz="0" w:space="0" w:color="auto"/>
      </w:divBdr>
    </w:div>
    <w:div w:id="1015888727">
      <w:bodyDiv w:val="1"/>
      <w:marLeft w:val="0"/>
      <w:marRight w:val="0"/>
      <w:marTop w:val="0"/>
      <w:marBottom w:val="0"/>
      <w:divBdr>
        <w:top w:val="none" w:sz="0" w:space="0" w:color="auto"/>
        <w:left w:val="none" w:sz="0" w:space="0" w:color="auto"/>
        <w:bottom w:val="none" w:sz="0" w:space="0" w:color="auto"/>
        <w:right w:val="none" w:sz="0" w:space="0" w:color="auto"/>
      </w:divBdr>
    </w:div>
    <w:div w:id="1702587604">
      <w:bodyDiv w:val="1"/>
      <w:marLeft w:val="0"/>
      <w:marRight w:val="0"/>
      <w:marTop w:val="0"/>
      <w:marBottom w:val="0"/>
      <w:divBdr>
        <w:top w:val="none" w:sz="0" w:space="0" w:color="auto"/>
        <w:left w:val="none" w:sz="0" w:space="0" w:color="auto"/>
        <w:bottom w:val="none" w:sz="0" w:space="0" w:color="auto"/>
        <w:right w:val="none" w:sz="0" w:space="0" w:color="auto"/>
      </w:divBdr>
    </w:div>
    <w:div w:id="1953903591">
      <w:bodyDiv w:val="1"/>
      <w:marLeft w:val="0"/>
      <w:marRight w:val="0"/>
      <w:marTop w:val="0"/>
      <w:marBottom w:val="0"/>
      <w:divBdr>
        <w:top w:val="none" w:sz="0" w:space="0" w:color="auto"/>
        <w:left w:val="none" w:sz="0" w:space="0" w:color="auto"/>
        <w:bottom w:val="none" w:sz="0" w:space="0" w:color="auto"/>
        <w:right w:val="none" w:sz="0" w:space="0" w:color="auto"/>
      </w:divBdr>
    </w:div>
    <w:div w:id="20043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ogna.federmanager.it/" TargetMode="External"/><Relationship Id="rId3" Type="http://schemas.openxmlformats.org/officeDocument/2006/relationships/settings" Target="settings.xml"/><Relationship Id="rId7" Type="http://schemas.openxmlformats.org/officeDocument/2006/relationships/hyperlink" Target="https://gruppobilancisostenibilita.org/news-ed-eventi/workshop-gli-strumenti-di-gestione-della-sostenibilit%C3%A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nica.dallolio1@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1824</Words>
  <Characters>10403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7</cp:revision>
  <cp:lastPrinted>2022-04-12T10:14:00Z</cp:lastPrinted>
  <dcterms:created xsi:type="dcterms:W3CDTF">2023-11-12T17:11:00Z</dcterms:created>
  <dcterms:modified xsi:type="dcterms:W3CDTF">2023-11-14T17:57:00Z</dcterms:modified>
</cp:coreProperties>
</file>